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E3971" w:rsidRPr="003E3971" w:rsidRDefault="003E3971" w:rsidP="003E3971">
      <w:pPr>
        <w:spacing w:line="480" w:lineRule="auto"/>
        <w:rPr>
          <w:rFonts w:asciiTheme="majorBidi" w:hAnsiTheme="majorBidi" w:cstheme="majorBidi"/>
          <w:b/>
          <w:bCs/>
          <w:sz w:val="28"/>
          <w:szCs w:val="28"/>
        </w:rPr>
      </w:pPr>
      <w:proofErr w:type="spellStart"/>
      <w:r>
        <w:rPr>
          <w:rFonts w:asciiTheme="majorBidi" w:hAnsiTheme="majorBidi" w:cstheme="majorBidi"/>
          <w:b/>
          <w:bCs/>
          <w:sz w:val="28"/>
          <w:szCs w:val="28"/>
        </w:rPr>
        <w:t>Semaglutide</w:t>
      </w:r>
      <w:proofErr w:type="spellEnd"/>
      <w:r>
        <w:rPr>
          <w:rFonts w:asciiTheme="majorBidi" w:hAnsiTheme="majorBidi" w:cstheme="majorBidi"/>
          <w:b/>
          <w:bCs/>
          <w:sz w:val="28"/>
          <w:szCs w:val="28"/>
        </w:rPr>
        <w:t xml:space="preserve">-Associated </w:t>
      </w:r>
      <w:r w:rsidRPr="003E3971">
        <w:rPr>
          <w:rFonts w:asciiTheme="majorBidi" w:hAnsiTheme="majorBidi" w:cstheme="majorBidi"/>
          <w:b/>
          <w:bCs/>
          <w:sz w:val="28"/>
          <w:szCs w:val="28"/>
        </w:rPr>
        <w:t>Severe Gastrointestinal Intolerance and Hepatic Granulomas: A Case Report</w:t>
      </w:r>
    </w:p>
    <w:p w:rsidR="003E3971" w:rsidRPr="003E3971" w:rsidRDefault="00720F07" w:rsidP="003E3971">
      <w:pPr>
        <w:spacing w:line="480" w:lineRule="auto"/>
        <w:rPr>
          <w:rFonts w:asciiTheme="majorBidi" w:hAnsiTheme="majorBidi" w:cstheme="majorBidi"/>
        </w:rPr>
      </w:pPr>
      <w:r>
        <w:rPr>
          <w:rFonts w:asciiTheme="majorBidi" w:hAnsiTheme="majorBidi" w:cstheme="majorBidi"/>
          <w:noProof/>
        </w:rPr>
        <w:pict>
          <v:rect id="_x0000_i1034" alt="" style="width:451.3pt;height:.05pt;mso-width-percent:0;mso-height-percent:0;mso-width-percent:0;mso-height-percent:0" o:hralign="center" o:hrstd="t" o:hr="t" fillcolor="#a0a0a0" stroked="f"/>
        </w:pict>
      </w:r>
    </w:p>
    <w:p w:rsidR="00524C45" w:rsidRDefault="00524C45" w:rsidP="003E3971">
      <w:pPr>
        <w:spacing w:line="480" w:lineRule="auto"/>
        <w:rPr>
          <w:rFonts w:asciiTheme="majorBidi" w:hAnsiTheme="majorBidi" w:cstheme="majorBidi"/>
          <w:b/>
          <w:bCs/>
          <w:sz w:val="28"/>
          <w:szCs w:val="28"/>
        </w:rPr>
      </w:pPr>
      <w:r>
        <w:rPr>
          <w:rFonts w:asciiTheme="majorBidi" w:hAnsiTheme="majorBidi" w:cstheme="majorBidi"/>
          <w:b/>
          <w:bCs/>
          <w:sz w:val="28"/>
          <w:szCs w:val="28"/>
        </w:rPr>
        <w:t>Authors:</w:t>
      </w:r>
    </w:p>
    <w:p w:rsidR="00524C45" w:rsidRDefault="00524C45" w:rsidP="009F2461">
      <w:pPr>
        <w:tabs>
          <w:tab w:val="left" w:pos="7987"/>
        </w:tabs>
        <w:spacing w:line="480" w:lineRule="auto"/>
        <w:rPr>
          <w:rFonts w:asciiTheme="majorBidi" w:hAnsiTheme="majorBidi" w:cstheme="majorBidi"/>
          <w:sz w:val="28"/>
          <w:szCs w:val="28"/>
          <w:vertAlign w:val="superscript"/>
        </w:rPr>
      </w:pPr>
      <w:r w:rsidRPr="009F2461">
        <w:rPr>
          <w:rFonts w:asciiTheme="majorBidi" w:hAnsiTheme="majorBidi" w:cstheme="majorBidi"/>
          <w:sz w:val="28"/>
          <w:szCs w:val="28"/>
        </w:rPr>
        <w:t>Aqsa Khan</w:t>
      </w:r>
      <w:r w:rsidRPr="009F2461">
        <w:rPr>
          <w:rFonts w:asciiTheme="majorBidi" w:hAnsiTheme="majorBidi" w:cstheme="majorBidi"/>
          <w:sz w:val="28"/>
          <w:szCs w:val="28"/>
          <w:vertAlign w:val="superscript"/>
        </w:rPr>
        <w:t>1*</w:t>
      </w:r>
      <w:r w:rsidRPr="009F2461">
        <w:rPr>
          <w:rFonts w:asciiTheme="majorBidi" w:hAnsiTheme="majorBidi" w:cstheme="majorBidi"/>
          <w:sz w:val="28"/>
          <w:szCs w:val="28"/>
        </w:rPr>
        <w:t xml:space="preserve">, </w:t>
      </w:r>
      <w:proofErr w:type="spellStart"/>
      <w:r w:rsidRPr="009F2461">
        <w:rPr>
          <w:rFonts w:asciiTheme="majorBidi" w:hAnsiTheme="majorBidi" w:cstheme="majorBidi"/>
          <w:sz w:val="28"/>
          <w:szCs w:val="28"/>
        </w:rPr>
        <w:t>Badeeya</w:t>
      </w:r>
      <w:proofErr w:type="spellEnd"/>
      <w:r w:rsidRPr="009F2461">
        <w:rPr>
          <w:rFonts w:asciiTheme="majorBidi" w:hAnsiTheme="majorBidi" w:cstheme="majorBidi"/>
          <w:sz w:val="28"/>
          <w:szCs w:val="28"/>
        </w:rPr>
        <w:t xml:space="preserve"> Rashid</w:t>
      </w:r>
      <w:r w:rsidR="009F2461" w:rsidRPr="009F2461">
        <w:rPr>
          <w:rFonts w:asciiTheme="majorBidi" w:hAnsiTheme="majorBidi" w:cstheme="majorBidi"/>
          <w:sz w:val="28"/>
          <w:szCs w:val="28"/>
          <w:vertAlign w:val="superscript"/>
        </w:rPr>
        <w:t>1</w:t>
      </w:r>
      <w:r w:rsidRPr="009F2461">
        <w:rPr>
          <w:rFonts w:asciiTheme="majorBidi" w:hAnsiTheme="majorBidi" w:cstheme="majorBidi"/>
          <w:sz w:val="28"/>
          <w:szCs w:val="28"/>
        </w:rPr>
        <w:t>, Fareedullah</w:t>
      </w:r>
      <w:r w:rsidR="009F2461" w:rsidRPr="009F2461">
        <w:rPr>
          <w:rFonts w:asciiTheme="majorBidi" w:hAnsiTheme="majorBidi" w:cstheme="majorBidi"/>
          <w:sz w:val="28"/>
          <w:szCs w:val="28"/>
          <w:vertAlign w:val="superscript"/>
        </w:rPr>
        <w:t>1</w:t>
      </w:r>
      <w:r w:rsidRPr="009F2461">
        <w:rPr>
          <w:rFonts w:asciiTheme="majorBidi" w:hAnsiTheme="majorBidi" w:cstheme="majorBidi"/>
          <w:sz w:val="28"/>
          <w:szCs w:val="28"/>
        </w:rPr>
        <w:t>, Sibghatullah</w:t>
      </w:r>
      <w:r w:rsidR="009F2461" w:rsidRPr="009F2461">
        <w:rPr>
          <w:rFonts w:asciiTheme="majorBidi" w:hAnsiTheme="majorBidi" w:cstheme="majorBidi"/>
          <w:sz w:val="28"/>
          <w:szCs w:val="28"/>
          <w:vertAlign w:val="superscript"/>
        </w:rPr>
        <w:t>1</w:t>
      </w:r>
      <w:r w:rsidR="009F2461">
        <w:rPr>
          <w:rFonts w:asciiTheme="majorBidi" w:hAnsiTheme="majorBidi" w:cstheme="majorBidi"/>
          <w:sz w:val="28"/>
          <w:szCs w:val="28"/>
          <w:vertAlign w:val="superscript"/>
        </w:rPr>
        <w:tab/>
      </w:r>
    </w:p>
    <w:p w:rsidR="009F2461" w:rsidRPr="009F2461" w:rsidRDefault="009F2461" w:rsidP="009F2461">
      <w:pPr>
        <w:tabs>
          <w:tab w:val="left" w:pos="7987"/>
        </w:tabs>
        <w:spacing w:line="480" w:lineRule="auto"/>
        <w:rPr>
          <w:rFonts w:asciiTheme="majorBidi" w:hAnsiTheme="majorBidi" w:cstheme="majorBidi"/>
          <w:sz w:val="28"/>
          <w:szCs w:val="28"/>
        </w:rPr>
      </w:pPr>
    </w:p>
    <w:p w:rsidR="00524C45" w:rsidRPr="009F2461" w:rsidRDefault="00524C45" w:rsidP="00524C45">
      <w:pPr>
        <w:spacing w:line="480" w:lineRule="auto"/>
        <w:rPr>
          <w:rFonts w:asciiTheme="majorBidi" w:hAnsiTheme="majorBidi" w:cstheme="majorBidi"/>
          <w:sz w:val="28"/>
          <w:szCs w:val="28"/>
        </w:rPr>
      </w:pPr>
      <w:r w:rsidRPr="009F2461">
        <w:rPr>
          <w:rFonts w:asciiTheme="majorBidi" w:hAnsiTheme="majorBidi" w:cstheme="majorBidi"/>
          <w:sz w:val="28"/>
          <w:szCs w:val="28"/>
          <w:vertAlign w:val="superscript"/>
        </w:rPr>
        <w:t>1</w:t>
      </w:r>
      <w:r w:rsidRPr="009F2461">
        <w:rPr>
          <w:rFonts w:asciiTheme="majorBidi" w:hAnsiTheme="majorBidi" w:cstheme="majorBidi"/>
          <w:sz w:val="28"/>
          <w:szCs w:val="28"/>
        </w:rPr>
        <w:t xml:space="preserve"> </w:t>
      </w:r>
      <w:r w:rsidRPr="009F2461">
        <w:rPr>
          <w:rFonts w:asciiTheme="majorBidi" w:hAnsiTheme="majorBidi" w:cstheme="majorBidi"/>
          <w:sz w:val="28"/>
          <w:szCs w:val="28"/>
        </w:rPr>
        <w:t xml:space="preserve">Department of General Medicine, Pakistan Institute of Medical Sciences, Islamabad Capital Territory, Islamabad, Pakistan. </w:t>
      </w:r>
    </w:p>
    <w:p w:rsidR="00524C45" w:rsidRDefault="00524C45" w:rsidP="00524C45">
      <w:pPr>
        <w:spacing w:line="480" w:lineRule="auto"/>
        <w:rPr>
          <w:rFonts w:asciiTheme="majorBidi" w:hAnsiTheme="majorBidi" w:cstheme="majorBidi"/>
          <w:b/>
          <w:bCs/>
          <w:sz w:val="28"/>
          <w:szCs w:val="28"/>
        </w:rPr>
      </w:pPr>
    </w:p>
    <w:p w:rsidR="00524C45" w:rsidRPr="009F2461" w:rsidRDefault="00524C45" w:rsidP="00524C45">
      <w:pPr>
        <w:spacing w:line="480" w:lineRule="auto"/>
        <w:rPr>
          <w:rFonts w:asciiTheme="majorBidi" w:hAnsiTheme="majorBidi" w:cstheme="majorBidi"/>
          <w:sz w:val="28"/>
          <w:szCs w:val="28"/>
        </w:rPr>
      </w:pPr>
      <w:r w:rsidRPr="009F2461">
        <w:rPr>
          <w:rFonts w:asciiTheme="majorBidi" w:hAnsiTheme="majorBidi" w:cstheme="majorBidi"/>
          <w:sz w:val="28"/>
          <w:szCs w:val="28"/>
        </w:rPr>
        <w:t xml:space="preserve">*Corresponding Author: </w:t>
      </w:r>
      <w:r w:rsidRPr="009F2461">
        <w:rPr>
          <w:rFonts w:asciiTheme="majorBidi" w:hAnsiTheme="majorBidi" w:cstheme="majorBidi"/>
          <w:sz w:val="28"/>
          <w:szCs w:val="28"/>
        </w:rPr>
        <w:t>aqsakhan023@gmail.com</w:t>
      </w:r>
    </w:p>
    <w:p w:rsidR="00524C45" w:rsidRDefault="00524C45" w:rsidP="003E3971">
      <w:pPr>
        <w:spacing w:line="480" w:lineRule="auto"/>
        <w:rPr>
          <w:rFonts w:asciiTheme="majorBidi" w:hAnsiTheme="majorBidi" w:cstheme="majorBidi"/>
          <w:b/>
          <w:bCs/>
          <w:sz w:val="28"/>
          <w:szCs w:val="28"/>
        </w:rPr>
      </w:pPr>
    </w:p>
    <w:p w:rsidR="009F2461" w:rsidRDefault="009F2461" w:rsidP="003E3971">
      <w:pPr>
        <w:spacing w:line="480" w:lineRule="auto"/>
        <w:rPr>
          <w:rFonts w:asciiTheme="majorBidi" w:hAnsiTheme="majorBidi" w:cstheme="majorBidi"/>
          <w:b/>
          <w:bCs/>
          <w:sz w:val="28"/>
          <w:szCs w:val="28"/>
        </w:rPr>
      </w:pPr>
    </w:p>
    <w:p w:rsidR="009F2461" w:rsidRDefault="009F2461" w:rsidP="003E3971">
      <w:pPr>
        <w:spacing w:line="480" w:lineRule="auto"/>
        <w:rPr>
          <w:rFonts w:asciiTheme="majorBidi" w:hAnsiTheme="majorBidi" w:cstheme="majorBidi"/>
          <w:b/>
          <w:bCs/>
          <w:sz w:val="28"/>
          <w:szCs w:val="28"/>
        </w:rPr>
      </w:pPr>
    </w:p>
    <w:p w:rsidR="009F2461" w:rsidRDefault="009F2461" w:rsidP="003E3971">
      <w:pPr>
        <w:spacing w:line="480" w:lineRule="auto"/>
        <w:rPr>
          <w:rFonts w:asciiTheme="majorBidi" w:hAnsiTheme="majorBidi" w:cstheme="majorBidi"/>
          <w:b/>
          <w:bCs/>
          <w:sz w:val="28"/>
          <w:szCs w:val="28"/>
        </w:rPr>
      </w:pPr>
    </w:p>
    <w:p w:rsidR="009F2461" w:rsidRDefault="009F2461" w:rsidP="003E3971">
      <w:pPr>
        <w:spacing w:line="480" w:lineRule="auto"/>
        <w:rPr>
          <w:rFonts w:asciiTheme="majorBidi" w:hAnsiTheme="majorBidi" w:cstheme="majorBidi"/>
          <w:b/>
          <w:bCs/>
          <w:sz w:val="28"/>
          <w:szCs w:val="28"/>
        </w:rPr>
      </w:pPr>
    </w:p>
    <w:p w:rsidR="009F2461" w:rsidRDefault="009F2461" w:rsidP="003E3971">
      <w:pPr>
        <w:spacing w:line="480" w:lineRule="auto"/>
        <w:rPr>
          <w:rFonts w:asciiTheme="majorBidi" w:hAnsiTheme="majorBidi" w:cstheme="majorBidi"/>
          <w:b/>
          <w:bCs/>
          <w:sz w:val="28"/>
          <w:szCs w:val="28"/>
        </w:rPr>
      </w:pPr>
    </w:p>
    <w:p w:rsidR="009F2461" w:rsidRDefault="009F2461" w:rsidP="003E3971">
      <w:pPr>
        <w:spacing w:line="480" w:lineRule="auto"/>
        <w:rPr>
          <w:rFonts w:asciiTheme="majorBidi" w:hAnsiTheme="majorBidi" w:cstheme="majorBidi"/>
          <w:b/>
          <w:bCs/>
          <w:sz w:val="28"/>
          <w:szCs w:val="28"/>
        </w:rPr>
      </w:pPr>
    </w:p>
    <w:p w:rsidR="009E593A" w:rsidRDefault="009E593A" w:rsidP="003E3971">
      <w:pPr>
        <w:spacing w:line="480" w:lineRule="auto"/>
        <w:rPr>
          <w:rFonts w:asciiTheme="majorBidi" w:hAnsiTheme="majorBidi" w:cstheme="majorBidi"/>
          <w:b/>
          <w:bCs/>
          <w:sz w:val="28"/>
          <w:szCs w:val="28"/>
        </w:rPr>
      </w:pPr>
    </w:p>
    <w:p w:rsidR="009F2461" w:rsidRDefault="009F2461" w:rsidP="003E3971">
      <w:pPr>
        <w:spacing w:line="480" w:lineRule="auto"/>
        <w:rPr>
          <w:rFonts w:asciiTheme="majorBidi" w:hAnsiTheme="majorBidi" w:cstheme="majorBidi"/>
          <w:b/>
          <w:bCs/>
          <w:sz w:val="28"/>
          <w:szCs w:val="28"/>
        </w:rPr>
      </w:pPr>
    </w:p>
    <w:p w:rsidR="009F2461" w:rsidRDefault="009F2461" w:rsidP="003E3971">
      <w:pPr>
        <w:spacing w:line="480" w:lineRule="auto"/>
        <w:rPr>
          <w:rFonts w:asciiTheme="majorBidi" w:hAnsiTheme="majorBidi" w:cstheme="majorBidi"/>
          <w:b/>
          <w:bCs/>
          <w:sz w:val="28"/>
          <w:szCs w:val="28"/>
        </w:rPr>
      </w:pPr>
    </w:p>
    <w:p w:rsidR="009F2461" w:rsidRDefault="009F2461" w:rsidP="003E3971">
      <w:pPr>
        <w:spacing w:line="480" w:lineRule="auto"/>
        <w:rPr>
          <w:rFonts w:asciiTheme="majorBidi" w:hAnsiTheme="majorBidi" w:cstheme="majorBidi"/>
          <w:b/>
          <w:bCs/>
          <w:sz w:val="28"/>
          <w:szCs w:val="28"/>
        </w:rPr>
      </w:pPr>
    </w:p>
    <w:p w:rsidR="003E3971" w:rsidRPr="003E3971" w:rsidRDefault="003E3971" w:rsidP="003E3971">
      <w:pPr>
        <w:spacing w:line="480" w:lineRule="auto"/>
        <w:rPr>
          <w:rFonts w:asciiTheme="majorBidi" w:hAnsiTheme="majorBidi" w:cstheme="majorBidi"/>
          <w:b/>
          <w:bCs/>
        </w:rPr>
      </w:pPr>
      <w:r w:rsidRPr="003E3971">
        <w:rPr>
          <w:rFonts w:asciiTheme="majorBidi" w:hAnsiTheme="majorBidi" w:cstheme="majorBidi"/>
          <w:b/>
          <w:bCs/>
          <w:sz w:val="28"/>
          <w:szCs w:val="28"/>
        </w:rPr>
        <w:lastRenderedPageBreak/>
        <w:t>Abstract</w:t>
      </w:r>
      <w:r w:rsidR="00173C95">
        <w:rPr>
          <w:rFonts w:asciiTheme="majorBidi" w:hAnsiTheme="majorBidi" w:cstheme="majorBidi"/>
          <w:b/>
          <w:bCs/>
          <w:sz w:val="28"/>
          <w:szCs w:val="28"/>
        </w:rPr>
        <w:t>:</w:t>
      </w:r>
    </w:p>
    <w:p w:rsidR="003E3971" w:rsidRDefault="003E3971" w:rsidP="003E3971">
      <w:pPr>
        <w:spacing w:line="480" w:lineRule="auto"/>
        <w:rPr>
          <w:rFonts w:asciiTheme="majorBidi" w:hAnsiTheme="majorBidi" w:cstheme="majorBidi"/>
        </w:rPr>
      </w:pPr>
      <w:r w:rsidRPr="003E3971">
        <w:rPr>
          <w:rFonts w:asciiTheme="majorBidi" w:hAnsiTheme="majorBidi" w:cstheme="majorBidi"/>
          <w:b/>
          <w:bCs/>
        </w:rPr>
        <w:t>Background:</w:t>
      </w:r>
      <w:r w:rsidRPr="003E3971">
        <w:rPr>
          <w:rFonts w:asciiTheme="majorBidi" w:hAnsiTheme="majorBidi" w:cstheme="majorBidi"/>
        </w:rPr>
        <w:t xml:space="preserve"> </w:t>
      </w:r>
      <w:proofErr w:type="spellStart"/>
      <w:r w:rsidRPr="003E3971">
        <w:rPr>
          <w:rFonts w:asciiTheme="majorBidi" w:hAnsiTheme="majorBidi" w:cstheme="majorBidi"/>
        </w:rPr>
        <w:t>Semaglutide</w:t>
      </w:r>
      <w:proofErr w:type="spellEnd"/>
      <w:r>
        <w:rPr>
          <w:rFonts w:asciiTheme="majorBidi" w:hAnsiTheme="majorBidi" w:cstheme="majorBidi"/>
        </w:rPr>
        <w:t xml:space="preserve"> (commonly known as Ozempic, </w:t>
      </w:r>
      <w:proofErr w:type="spellStart"/>
      <w:r>
        <w:rPr>
          <w:rFonts w:asciiTheme="majorBidi" w:hAnsiTheme="majorBidi" w:cstheme="majorBidi"/>
        </w:rPr>
        <w:t>Rybelsus</w:t>
      </w:r>
      <w:proofErr w:type="spellEnd"/>
      <w:r>
        <w:rPr>
          <w:rFonts w:asciiTheme="majorBidi" w:hAnsiTheme="majorBidi" w:cstheme="majorBidi"/>
        </w:rPr>
        <w:t xml:space="preserve">, </w:t>
      </w:r>
      <w:proofErr w:type="spellStart"/>
      <w:r>
        <w:rPr>
          <w:rFonts w:asciiTheme="majorBidi" w:hAnsiTheme="majorBidi" w:cstheme="majorBidi"/>
        </w:rPr>
        <w:t>andWegovy</w:t>
      </w:r>
      <w:proofErr w:type="spellEnd"/>
      <w:r>
        <w:rPr>
          <w:rFonts w:asciiTheme="majorBidi" w:hAnsiTheme="majorBidi" w:cstheme="majorBidi"/>
        </w:rPr>
        <w:t>)</w:t>
      </w:r>
      <w:r w:rsidRPr="003E3971">
        <w:rPr>
          <w:rFonts w:asciiTheme="majorBidi" w:hAnsiTheme="majorBidi" w:cstheme="majorBidi"/>
        </w:rPr>
        <w:t>, a glucagon-like peptide-1 (GLP-1) receptor agonist</w:t>
      </w:r>
      <w:r>
        <w:rPr>
          <w:rFonts w:asciiTheme="majorBidi" w:hAnsiTheme="majorBidi" w:cstheme="majorBidi"/>
        </w:rPr>
        <w:t>. It</w:t>
      </w:r>
      <w:r w:rsidRPr="003E3971">
        <w:rPr>
          <w:rFonts w:asciiTheme="majorBidi" w:hAnsiTheme="majorBidi" w:cstheme="majorBidi"/>
        </w:rPr>
        <w:t xml:space="preserve"> is increasingly prescribed for diabetes and weight loss. While gastrointestinal side effects are well recognized, hepatic granulomas associated with </w:t>
      </w:r>
      <w:r>
        <w:rPr>
          <w:rFonts w:asciiTheme="majorBidi" w:hAnsiTheme="majorBidi" w:cstheme="majorBidi"/>
        </w:rPr>
        <w:t>its use have not been reported in the literature.</w:t>
      </w:r>
    </w:p>
    <w:p w:rsidR="003E3971" w:rsidRPr="003E3971" w:rsidRDefault="003E3971" w:rsidP="003E3971">
      <w:pPr>
        <w:spacing w:line="480" w:lineRule="auto"/>
        <w:rPr>
          <w:rFonts w:asciiTheme="majorBidi" w:hAnsiTheme="majorBidi" w:cstheme="majorBidi"/>
        </w:rPr>
      </w:pPr>
      <w:r w:rsidRPr="003E3971">
        <w:rPr>
          <w:rFonts w:asciiTheme="majorBidi" w:hAnsiTheme="majorBidi" w:cstheme="majorBidi"/>
          <w:b/>
          <w:bCs/>
        </w:rPr>
        <w:t>Case Presentation:</w:t>
      </w:r>
      <w:r w:rsidRPr="003E3971">
        <w:rPr>
          <w:rFonts w:asciiTheme="majorBidi" w:hAnsiTheme="majorBidi" w:cstheme="majorBidi"/>
        </w:rPr>
        <w:t xml:space="preserve"> A 36-year-old woman without comorbidities developed persistent nausea, early satiety, anorexia, diarrhea, and 5 kg weight loss within 4 weeks of starting </w:t>
      </w:r>
      <w:proofErr w:type="spellStart"/>
      <w:r w:rsidRPr="003E3971">
        <w:rPr>
          <w:rFonts w:asciiTheme="majorBidi" w:hAnsiTheme="majorBidi" w:cstheme="majorBidi"/>
        </w:rPr>
        <w:t>semaglutide</w:t>
      </w:r>
      <w:proofErr w:type="spellEnd"/>
      <w:r w:rsidRPr="003E3971">
        <w:rPr>
          <w:rFonts w:asciiTheme="majorBidi" w:hAnsiTheme="majorBidi" w:cstheme="majorBidi"/>
        </w:rPr>
        <w:t xml:space="preserve"> 0.25 mg weekly. Ultrasound imaging revealed multiple hepatic granulomas. Laboratory, infectious, and autoimmune evaluations were unremarkable. Following drug discontinuation, her symptoms resolved, and repeat imaging showed resolution of granulomas, eliminating the need for biopsy.</w:t>
      </w:r>
    </w:p>
    <w:p w:rsidR="003E3971" w:rsidRPr="003E3971" w:rsidRDefault="003E3971" w:rsidP="003E3971">
      <w:pPr>
        <w:spacing w:line="480" w:lineRule="auto"/>
        <w:rPr>
          <w:rFonts w:asciiTheme="majorBidi" w:hAnsiTheme="majorBidi" w:cstheme="majorBidi"/>
        </w:rPr>
      </w:pPr>
      <w:r w:rsidRPr="003E3971">
        <w:rPr>
          <w:rFonts w:asciiTheme="majorBidi" w:hAnsiTheme="majorBidi" w:cstheme="majorBidi"/>
          <w:b/>
          <w:bCs/>
        </w:rPr>
        <w:t>Discussion:</w:t>
      </w:r>
      <w:r w:rsidRPr="003E3971">
        <w:rPr>
          <w:rFonts w:asciiTheme="majorBidi" w:hAnsiTheme="majorBidi" w:cstheme="majorBidi"/>
        </w:rPr>
        <w:t xml:space="preserve"> This case highlights an atypical presentation of severe gastrointestinal intolerance and hepatic granulomas at a very low dose of </w:t>
      </w:r>
      <w:proofErr w:type="spellStart"/>
      <w:r w:rsidRPr="003E3971">
        <w:rPr>
          <w:rFonts w:asciiTheme="majorBidi" w:hAnsiTheme="majorBidi" w:cstheme="majorBidi"/>
        </w:rPr>
        <w:t>semaglutide</w:t>
      </w:r>
      <w:proofErr w:type="spellEnd"/>
      <w:r w:rsidRPr="003E3971">
        <w:rPr>
          <w:rFonts w:asciiTheme="majorBidi" w:hAnsiTheme="majorBidi" w:cstheme="majorBidi"/>
        </w:rPr>
        <w:t>. The temporal association and resolution after withdrawal suggest a drug-induced hypersensitivity reaction</w:t>
      </w:r>
      <w:r>
        <w:rPr>
          <w:rFonts w:asciiTheme="majorBidi" w:hAnsiTheme="majorBidi" w:cstheme="majorBidi"/>
        </w:rPr>
        <w:t xml:space="preserve"> or an immune dysfunction associated with its use.</w:t>
      </w:r>
    </w:p>
    <w:p w:rsidR="003E3971" w:rsidRPr="003E3971" w:rsidRDefault="003E3971" w:rsidP="003E3971">
      <w:pPr>
        <w:spacing w:line="480" w:lineRule="auto"/>
        <w:rPr>
          <w:rFonts w:asciiTheme="majorBidi" w:hAnsiTheme="majorBidi" w:cstheme="majorBidi"/>
        </w:rPr>
      </w:pPr>
      <w:r w:rsidRPr="003E3971">
        <w:rPr>
          <w:rFonts w:asciiTheme="majorBidi" w:hAnsiTheme="majorBidi" w:cstheme="majorBidi"/>
          <w:b/>
          <w:bCs/>
        </w:rPr>
        <w:t>Conclusion:</w:t>
      </w:r>
      <w:r w:rsidRPr="003E3971">
        <w:rPr>
          <w:rFonts w:asciiTheme="majorBidi" w:hAnsiTheme="majorBidi" w:cstheme="majorBidi"/>
        </w:rPr>
        <w:t xml:space="preserve"> Clinicians should remain alert for unusual adverse effects of </w:t>
      </w:r>
      <w:proofErr w:type="spellStart"/>
      <w:r w:rsidRPr="003E3971">
        <w:rPr>
          <w:rFonts w:asciiTheme="majorBidi" w:hAnsiTheme="majorBidi" w:cstheme="majorBidi"/>
        </w:rPr>
        <w:t>semaglutide</w:t>
      </w:r>
      <w:proofErr w:type="spellEnd"/>
      <w:r w:rsidRPr="003E3971">
        <w:rPr>
          <w:rFonts w:asciiTheme="majorBidi" w:hAnsiTheme="majorBidi" w:cstheme="majorBidi"/>
        </w:rPr>
        <w:t>, even at initiation doses. Imaging and close follow-up are essential in cases with unexplained gastrointestinal symptoms and hepatic abnormalities.</w:t>
      </w:r>
    </w:p>
    <w:p w:rsidR="003E3971" w:rsidRPr="003E3971" w:rsidRDefault="003E3971" w:rsidP="003E3971">
      <w:pPr>
        <w:spacing w:line="480" w:lineRule="auto"/>
        <w:rPr>
          <w:rFonts w:asciiTheme="majorBidi" w:hAnsiTheme="majorBidi" w:cstheme="majorBidi"/>
        </w:rPr>
      </w:pPr>
      <w:r w:rsidRPr="003E3971">
        <w:rPr>
          <w:rFonts w:asciiTheme="majorBidi" w:hAnsiTheme="majorBidi" w:cstheme="majorBidi"/>
          <w:b/>
          <w:bCs/>
        </w:rPr>
        <w:t>Keywords:</w:t>
      </w:r>
      <w:r w:rsidRPr="003E3971">
        <w:rPr>
          <w:rFonts w:asciiTheme="majorBidi" w:hAnsiTheme="majorBidi" w:cstheme="majorBidi"/>
        </w:rPr>
        <w:t xml:space="preserve"> </w:t>
      </w:r>
      <w:proofErr w:type="spellStart"/>
      <w:r w:rsidRPr="003E3971">
        <w:rPr>
          <w:rFonts w:asciiTheme="majorBidi" w:hAnsiTheme="majorBidi" w:cstheme="majorBidi"/>
        </w:rPr>
        <w:t>Semaglutide</w:t>
      </w:r>
      <w:proofErr w:type="spellEnd"/>
      <w:r w:rsidRPr="003E3971">
        <w:rPr>
          <w:rFonts w:asciiTheme="majorBidi" w:hAnsiTheme="majorBidi" w:cstheme="majorBidi"/>
        </w:rPr>
        <w:t>, GLP-1 receptor agonist, hepatic granulomas, gastrointestinal adverse effects</w:t>
      </w:r>
    </w:p>
    <w:p w:rsidR="003E3971" w:rsidRPr="003E3971" w:rsidRDefault="00720F07" w:rsidP="003E3971">
      <w:pPr>
        <w:spacing w:line="480" w:lineRule="auto"/>
        <w:rPr>
          <w:rFonts w:asciiTheme="majorBidi" w:hAnsiTheme="majorBidi" w:cstheme="majorBidi"/>
        </w:rPr>
      </w:pPr>
      <w:r>
        <w:rPr>
          <w:rFonts w:asciiTheme="majorBidi" w:hAnsiTheme="majorBidi" w:cstheme="majorBidi"/>
          <w:noProof/>
        </w:rPr>
        <w:pict>
          <v:rect id="_x0000_i1033" alt="" style="width:451.3pt;height:.05pt;mso-width-percent:0;mso-height-percent:0;mso-width-percent:0;mso-height-percent:0" o:hralign="center" o:hrstd="t" o:hr="t" fillcolor="#a0a0a0" stroked="f"/>
        </w:pict>
      </w:r>
    </w:p>
    <w:p w:rsidR="009F2461" w:rsidRDefault="009F2461" w:rsidP="003E3971">
      <w:pPr>
        <w:spacing w:line="480" w:lineRule="auto"/>
        <w:rPr>
          <w:rFonts w:asciiTheme="majorBidi" w:hAnsiTheme="majorBidi" w:cstheme="majorBidi"/>
          <w:b/>
          <w:bCs/>
          <w:sz w:val="28"/>
          <w:szCs w:val="28"/>
        </w:rPr>
      </w:pPr>
    </w:p>
    <w:p w:rsidR="009F2461" w:rsidRDefault="009F2461" w:rsidP="003E3971">
      <w:pPr>
        <w:spacing w:line="480" w:lineRule="auto"/>
        <w:rPr>
          <w:rFonts w:asciiTheme="majorBidi" w:hAnsiTheme="majorBidi" w:cstheme="majorBidi"/>
          <w:b/>
          <w:bCs/>
          <w:sz w:val="28"/>
          <w:szCs w:val="28"/>
        </w:rPr>
      </w:pPr>
    </w:p>
    <w:p w:rsidR="009F2461" w:rsidRDefault="009F2461" w:rsidP="003E3971">
      <w:pPr>
        <w:spacing w:line="480" w:lineRule="auto"/>
        <w:rPr>
          <w:rFonts w:asciiTheme="majorBidi" w:hAnsiTheme="majorBidi" w:cstheme="majorBidi"/>
          <w:b/>
          <w:bCs/>
          <w:sz w:val="28"/>
          <w:szCs w:val="28"/>
        </w:rPr>
      </w:pPr>
    </w:p>
    <w:p w:rsidR="003E3971" w:rsidRPr="003E3971" w:rsidRDefault="003E3971" w:rsidP="003E3971">
      <w:pPr>
        <w:spacing w:line="480" w:lineRule="auto"/>
        <w:rPr>
          <w:rFonts w:asciiTheme="majorBidi" w:hAnsiTheme="majorBidi" w:cstheme="majorBidi"/>
          <w:b/>
          <w:bCs/>
        </w:rPr>
      </w:pPr>
      <w:r w:rsidRPr="003E3971">
        <w:rPr>
          <w:rFonts w:asciiTheme="majorBidi" w:hAnsiTheme="majorBidi" w:cstheme="majorBidi"/>
          <w:b/>
          <w:bCs/>
          <w:sz w:val="28"/>
          <w:szCs w:val="28"/>
        </w:rPr>
        <w:lastRenderedPageBreak/>
        <w:t>Introduction</w:t>
      </w:r>
    </w:p>
    <w:p w:rsidR="003E3971" w:rsidRDefault="003E3971" w:rsidP="003E3971">
      <w:pPr>
        <w:spacing w:line="480" w:lineRule="auto"/>
        <w:rPr>
          <w:rFonts w:asciiTheme="majorBidi" w:hAnsiTheme="majorBidi" w:cstheme="majorBidi"/>
        </w:rPr>
      </w:pPr>
      <w:proofErr w:type="spellStart"/>
      <w:r w:rsidRPr="003E3971">
        <w:rPr>
          <w:rFonts w:asciiTheme="majorBidi" w:hAnsiTheme="majorBidi" w:cstheme="majorBidi"/>
        </w:rPr>
        <w:t>Semaglutide</w:t>
      </w:r>
      <w:proofErr w:type="spellEnd"/>
      <w:r w:rsidRPr="003E3971">
        <w:rPr>
          <w:rFonts w:asciiTheme="majorBidi" w:hAnsiTheme="majorBidi" w:cstheme="majorBidi"/>
        </w:rPr>
        <w:t>, a GLP-1 receptor agonist, has shown significant efficacy in type 2 diabetes and obesity management. By promoting satiety, delaying gastric emptying, and improving glycemic control, it is increasingly used off-label for weight loss. The most common adverse effects are gastrointestinal, including nausea, vomiting, and constipation. Drug-induced liver injury (DILI) has been reported but remains rare.</w:t>
      </w:r>
      <w:r w:rsidR="00E341A6">
        <w:rPr>
          <w:rFonts w:asciiTheme="majorBidi" w:hAnsiTheme="majorBidi" w:cstheme="majorBidi"/>
        </w:rPr>
        <w:t xml:space="preserve"> Liver biopsy findings of one case report demonstrated features of acute hepatitis with mononuclear infiltrates and necrosis</w:t>
      </w:r>
      <w:r w:rsidR="00E341A6" w:rsidRPr="00E341A6">
        <w:rPr>
          <w:rFonts w:asciiTheme="majorBidi" w:hAnsiTheme="majorBidi" w:cstheme="majorBidi"/>
          <w:vertAlign w:val="superscript"/>
        </w:rPr>
        <w:t>1</w:t>
      </w:r>
      <w:r w:rsidR="00E341A6">
        <w:rPr>
          <w:rFonts w:asciiTheme="majorBidi" w:hAnsiTheme="majorBidi" w:cstheme="majorBidi"/>
        </w:rPr>
        <w:t>.</w:t>
      </w:r>
    </w:p>
    <w:p w:rsidR="00E341A6" w:rsidRPr="003E3971" w:rsidRDefault="00E341A6" w:rsidP="00E341A6">
      <w:pPr>
        <w:spacing w:line="480" w:lineRule="auto"/>
        <w:rPr>
          <w:rFonts w:asciiTheme="majorBidi" w:hAnsiTheme="majorBidi" w:cstheme="majorBidi"/>
        </w:rPr>
      </w:pPr>
      <w:r>
        <w:rPr>
          <w:rFonts w:asciiTheme="majorBidi" w:hAnsiTheme="majorBidi" w:cstheme="majorBidi"/>
        </w:rPr>
        <w:t xml:space="preserve">Contrary to liver injury associated with </w:t>
      </w:r>
      <w:proofErr w:type="spellStart"/>
      <w:r>
        <w:rPr>
          <w:rFonts w:asciiTheme="majorBidi" w:hAnsiTheme="majorBidi" w:cstheme="majorBidi"/>
        </w:rPr>
        <w:t>Semaglutide</w:t>
      </w:r>
      <w:proofErr w:type="spellEnd"/>
      <w:r>
        <w:rPr>
          <w:rFonts w:asciiTheme="majorBidi" w:hAnsiTheme="majorBidi" w:cstheme="majorBidi"/>
        </w:rPr>
        <w:t>, studies have shown its potential for treating MASLD (</w:t>
      </w:r>
      <w:r w:rsidRPr="00E341A6">
        <w:rPr>
          <w:rFonts w:asciiTheme="majorBidi" w:hAnsiTheme="majorBidi" w:cstheme="majorBidi"/>
        </w:rPr>
        <w:t>metabolic</w:t>
      </w:r>
      <w:r>
        <w:rPr>
          <w:rFonts w:asciiTheme="majorBidi" w:hAnsiTheme="majorBidi" w:cstheme="majorBidi"/>
        </w:rPr>
        <w:t xml:space="preserve"> syndrome</w:t>
      </w:r>
      <w:r w:rsidRPr="00E341A6">
        <w:rPr>
          <w:rFonts w:asciiTheme="majorBidi" w:hAnsiTheme="majorBidi" w:cstheme="majorBidi"/>
        </w:rPr>
        <w:t xml:space="preserve">-associated </w:t>
      </w:r>
      <w:proofErr w:type="spellStart"/>
      <w:r w:rsidRPr="00E341A6">
        <w:rPr>
          <w:rFonts w:asciiTheme="majorBidi" w:hAnsiTheme="majorBidi" w:cstheme="majorBidi"/>
        </w:rPr>
        <w:t>steatotic</w:t>
      </w:r>
      <w:proofErr w:type="spellEnd"/>
      <w:r w:rsidRPr="00E341A6">
        <w:rPr>
          <w:rFonts w:asciiTheme="majorBidi" w:hAnsiTheme="majorBidi" w:cstheme="majorBidi"/>
        </w:rPr>
        <w:t xml:space="preserve"> liver disease</w:t>
      </w:r>
      <w:r>
        <w:rPr>
          <w:rFonts w:asciiTheme="majorBidi" w:hAnsiTheme="majorBidi" w:cstheme="majorBidi"/>
        </w:rPr>
        <w:t>) and improving liver fibrosis</w:t>
      </w:r>
      <w:r w:rsidRPr="00E341A6">
        <w:rPr>
          <w:rFonts w:asciiTheme="majorBidi" w:hAnsiTheme="majorBidi" w:cstheme="majorBidi"/>
          <w:vertAlign w:val="superscript"/>
        </w:rPr>
        <w:t>2</w:t>
      </w:r>
      <w:r>
        <w:rPr>
          <w:rFonts w:asciiTheme="majorBidi" w:hAnsiTheme="majorBidi" w:cstheme="majorBidi"/>
        </w:rPr>
        <w:t>.</w:t>
      </w:r>
    </w:p>
    <w:p w:rsidR="003E3971" w:rsidRPr="003E3971" w:rsidRDefault="003E3971" w:rsidP="003E3971">
      <w:pPr>
        <w:spacing w:line="480" w:lineRule="auto"/>
        <w:rPr>
          <w:rFonts w:asciiTheme="majorBidi" w:hAnsiTheme="majorBidi" w:cstheme="majorBidi"/>
        </w:rPr>
      </w:pPr>
      <w:r w:rsidRPr="003E3971">
        <w:rPr>
          <w:rFonts w:asciiTheme="majorBidi" w:hAnsiTheme="majorBidi" w:cstheme="majorBidi"/>
        </w:rPr>
        <w:t xml:space="preserve">To date, </w:t>
      </w:r>
      <w:proofErr w:type="spellStart"/>
      <w:r w:rsidRPr="003E3971">
        <w:rPr>
          <w:rFonts w:asciiTheme="majorBidi" w:hAnsiTheme="majorBidi" w:cstheme="majorBidi"/>
        </w:rPr>
        <w:t>semaglutide</w:t>
      </w:r>
      <w:proofErr w:type="spellEnd"/>
      <w:r w:rsidRPr="003E3971">
        <w:rPr>
          <w:rFonts w:asciiTheme="majorBidi" w:hAnsiTheme="majorBidi" w:cstheme="majorBidi"/>
        </w:rPr>
        <w:t xml:space="preserve">-associated hepatic granulomas have not been well described in </w:t>
      </w:r>
      <w:r w:rsidR="00173C95">
        <w:rPr>
          <w:rFonts w:asciiTheme="majorBidi" w:hAnsiTheme="majorBidi" w:cstheme="majorBidi"/>
        </w:rPr>
        <w:t xml:space="preserve">the </w:t>
      </w:r>
      <w:r w:rsidRPr="003E3971">
        <w:rPr>
          <w:rFonts w:asciiTheme="majorBidi" w:hAnsiTheme="majorBidi" w:cstheme="majorBidi"/>
        </w:rPr>
        <w:t xml:space="preserve">literature. We report the case of a young woman who developed severe gastrointestinal intolerance and hepatic granulomas within 4 weeks of initiating low-dose </w:t>
      </w:r>
      <w:proofErr w:type="spellStart"/>
      <w:r w:rsidRPr="003E3971">
        <w:rPr>
          <w:rFonts w:asciiTheme="majorBidi" w:hAnsiTheme="majorBidi" w:cstheme="majorBidi"/>
        </w:rPr>
        <w:t>semaglutide</w:t>
      </w:r>
      <w:proofErr w:type="spellEnd"/>
      <w:r w:rsidRPr="003E3971">
        <w:rPr>
          <w:rFonts w:asciiTheme="majorBidi" w:hAnsiTheme="majorBidi" w:cstheme="majorBidi"/>
        </w:rPr>
        <w:t>.</w:t>
      </w:r>
    </w:p>
    <w:p w:rsidR="003E3971" w:rsidRPr="003E3971" w:rsidRDefault="00720F07" w:rsidP="003E3971">
      <w:pPr>
        <w:spacing w:line="480" w:lineRule="auto"/>
        <w:rPr>
          <w:rFonts w:asciiTheme="majorBidi" w:hAnsiTheme="majorBidi" w:cstheme="majorBidi"/>
        </w:rPr>
      </w:pPr>
      <w:r>
        <w:rPr>
          <w:rFonts w:asciiTheme="majorBidi" w:hAnsiTheme="majorBidi" w:cstheme="majorBidi"/>
          <w:noProof/>
        </w:rPr>
        <w:pict>
          <v:rect id="_x0000_i1032" alt="" style="width:451.3pt;height:.05pt;mso-width-percent:0;mso-height-percent:0;mso-width-percent:0;mso-height-percent:0" o:hralign="center" o:hrstd="t" o:hr="t" fillcolor="#a0a0a0" stroked="f"/>
        </w:pict>
      </w:r>
    </w:p>
    <w:p w:rsidR="003E3971" w:rsidRPr="003E3971" w:rsidRDefault="003E3971" w:rsidP="003E3971">
      <w:pPr>
        <w:spacing w:line="480" w:lineRule="auto"/>
        <w:rPr>
          <w:rFonts w:asciiTheme="majorBidi" w:hAnsiTheme="majorBidi" w:cstheme="majorBidi"/>
          <w:b/>
          <w:bCs/>
          <w:sz w:val="28"/>
          <w:szCs w:val="28"/>
        </w:rPr>
      </w:pPr>
      <w:r w:rsidRPr="003E3971">
        <w:rPr>
          <w:rFonts w:asciiTheme="majorBidi" w:hAnsiTheme="majorBidi" w:cstheme="majorBidi"/>
          <w:b/>
          <w:bCs/>
          <w:sz w:val="28"/>
          <w:szCs w:val="28"/>
        </w:rPr>
        <w:t>Case Presentation</w:t>
      </w:r>
      <w:r w:rsidR="00173C95" w:rsidRPr="00173C95">
        <w:rPr>
          <w:rFonts w:asciiTheme="majorBidi" w:hAnsiTheme="majorBidi" w:cstheme="majorBidi"/>
          <w:b/>
          <w:bCs/>
          <w:sz w:val="28"/>
          <w:szCs w:val="28"/>
        </w:rPr>
        <w:t>:</w:t>
      </w:r>
    </w:p>
    <w:p w:rsidR="003E3971" w:rsidRPr="003E3971" w:rsidRDefault="003E3971" w:rsidP="003E3971">
      <w:pPr>
        <w:spacing w:line="480" w:lineRule="auto"/>
        <w:rPr>
          <w:rFonts w:asciiTheme="majorBidi" w:hAnsiTheme="majorBidi" w:cstheme="majorBidi"/>
          <w:b/>
          <w:bCs/>
        </w:rPr>
      </w:pPr>
      <w:r w:rsidRPr="003E3971">
        <w:rPr>
          <w:rFonts w:asciiTheme="majorBidi" w:hAnsiTheme="majorBidi" w:cstheme="majorBidi"/>
          <w:b/>
          <w:bCs/>
        </w:rPr>
        <w:t>Patient Information</w:t>
      </w:r>
    </w:p>
    <w:p w:rsidR="003E3971" w:rsidRPr="003E3971" w:rsidRDefault="003E3971" w:rsidP="003E3971">
      <w:pPr>
        <w:numPr>
          <w:ilvl w:val="0"/>
          <w:numId w:val="1"/>
        </w:numPr>
        <w:spacing w:line="480" w:lineRule="auto"/>
        <w:rPr>
          <w:rFonts w:asciiTheme="majorBidi" w:hAnsiTheme="majorBidi" w:cstheme="majorBidi"/>
        </w:rPr>
      </w:pPr>
      <w:r w:rsidRPr="003E3971">
        <w:rPr>
          <w:rFonts w:asciiTheme="majorBidi" w:hAnsiTheme="majorBidi" w:cstheme="majorBidi"/>
          <w:b/>
          <w:bCs/>
        </w:rPr>
        <w:t>Age/Sex:</w:t>
      </w:r>
      <w:r w:rsidRPr="003E3971">
        <w:rPr>
          <w:rFonts w:asciiTheme="majorBidi" w:hAnsiTheme="majorBidi" w:cstheme="majorBidi"/>
        </w:rPr>
        <w:t xml:space="preserve"> 36-year-old female</w:t>
      </w:r>
    </w:p>
    <w:p w:rsidR="003E3971" w:rsidRPr="003E3971" w:rsidRDefault="003E3971" w:rsidP="003E3971">
      <w:pPr>
        <w:numPr>
          <w:ilvl w:val="0"/>
          <w:numId w:val="1"/>
        </w:numPr>
        <w:spacing w:line="480" w:lineRule="auto"/>
        <w:rPr>
          <w:rFonts w:asciiTheme="majorBidi" w:hAnsiTheme="majorBidi" w:cstheme="majorBidi"/>
        </w:rPr>
      </w:pPr>
      <w:r w:rsidRPr="003E3971">
        <w:rPr>
          <w:rFonts w:asciiTheme="majorBidi" w:hAnsiTheme="majorBidi" w:cstheme="majorBidi"/>
          <w:b/>
          <w:bCs/>
        </w:rPr>
        <w:t>Medical history:</w:t>
      </w:r>
      <w:r w:rsidRPr="003E3971">
        <w:rPr>
          <w:rFonts w:asciiTheme="majorBidi" w:hAnsiTheme="majorBidi" w:cstheme="majorBidi"/>
        </w:rPr>
        <w:t xml:space="preserve"> No prior comorbidities, no prior surgeries</w:t>
      </w:r>
    </w:p>
    <w:p w:rsidR="003E3971" w:rsidRPr="003E3971" w:rsidRDefault="003E3971" w:rsidP="003E3971">
      <w:pPr>
        <w:numPr>
          <w:ilvl w:val="0"/>
          <w:numId w:val="1"/>
        </w:numPr>
        <w:spacing w:line="480" w:lineRule="auto"/>
        <w:rPr>
          <w:rFonts w:asciiTheme="majorBidi" w:hAnsiTheme="majorBidi" w:cstheme="majorBidi"/>
        </w:rPr>
      </w:pPr>
      <w:r w:rsidRPr="003E3971">
        <w:rPr>
          <w:rFonts w:asciiTheme="majorBidi" w:hAnsiTheme="majorBidi" w:cstheme="majorBidi"/>
          <w:b/>
          <w:bCs/>
        </w:rPr>
        <w:t>Medications:</w:t>
      </w:r>
      <w:r w:rsidRPr="003E3971">
        <w:rPr>
          <w:rFonts w:asciiTheme="majorBidi" w:hAnsiTheme="majorBidi" w:cstheme="majorBidi"/>
        </w:rPr>
        <w:t xml:space="preserve"> Initiated </w:t>
      </w:r>
      <w:proofErr w:type="spellStart"/>
      <w:r w:rsidRPr="003E3971">
        <w:rPr>
          <w:rFonts w:asciiTheme="majorBidi" w:hAnsiTheme="majorBidi" w:cstheme="majorBidi"/>
        </w:rPr>
        <w:t>semaglutide</w:t>
      </w:r>
      <w:proofErr w:type="spellEnd"/>
      <w:r w:rsidRPr="003E3971">
        <w:rPr>
          <w:rFonts w:asciiTheme="majorBidi" w:hAnsiTheme="majorBidi" w:cstheme="majorBidi"/>
        </w:rPr>
        <w:t xml:space="preserve"> 0.25 mg weekly for weight loss</w:t>
      </w:r>
    </w:p>
    <w:p w:rsidR="003E3971" w:rsidRPr="003E3971" w:rsidRDefault="003E3971" w:rsidP="003E3971">
      <w:pPr>
        <w:numPr>
          <w:ilvl w:val="0"/>
          <w:numId w:val="1"/>
        </w:numPr>
        <w:spacing w:line="480" w:lineRule="auto"/>
        <w:rPr>
          <w:rFonts w:asciiTheme="majorBidi" w:hAnsiTheme="majorBidi" w:cstheme="majorBidi"/>
        </w:rPr>
      </w:pPr>
      <w:r w:rsidRPr="003E3971">
        <w:rPr>
          <w:rFonts w:asciiTheme="majorBidi" w:hAnsiTheme="majorBidi" w:cstheme="majorBidi"/>
          <w:b/>
          <w:bCs/>
        </w:rPr>
        <w:t>Baseline weight/BMI:</w:t>
      </w:r>
      <w:r w:rsidRPr="003E3971">
        <w:rPr>
          <w:rFonts w:asciiTheme="majorBidi" w:hAnsiTheme="majorBidi" w:cstheme="majorBidi"/>
        </w:rPr>
        <w:t xml:space="preserve"> 55 kg, BMI 21.5 kg/m²</w:t>
      </w:r>
    </w:p>
    <w:p w:rsidR="003E3971" w:rsidRPr="003E3971" w:rsidRDefault="003E3971" w:rsidP="003E3971">
      <w:pPr>
        <w:spacing w:line="480" w:lineRule="auto"/>
        <w:rPr>
          <w:rFonts w:asciiTheme="majorBidi" w:hAnsiTheme="majorBidi" w:cstheme="majorBidi"/>
          <w:b/>
          <w:bCs/>
        </w:rPr>
      </w:pPr>
      <w:r w:rsidRPr="003E3971">
        <w:rPr>
          <w:rFonts w:asciiTheme="majorBidi" w:hAnsiTheme="majorBidi" w:cstheme="majorBidi"/>
          <w:b/>
          <w:bCs/>
        </w:rPr>
        <w:t>Clinical Findings</w:t>
      </w:r>
    </w:p>
    <w:p w:rsidR="003E3971" w:rsidRPr="003E3971" w:rsidRDefault="003E3971" w:rsidP="003E3971">
      <w:pPr>
        <w:spacing w:line="480" w:lineRule="auto"/>
        <w:rPr>
          <w:rFonts w:asciiTheme="majorBidi" w:hAnsiTheme="majorBidi" w:cstheme="majorBidi"/>
        </w:rPr>
      </w:pPr>
      <w:r w:rsidRPr="003E3971">
        <w:rPr>
          <w:rFonts w:asciiTheme="majorBidi" w:hAnsiTheme="majorBidi" w:cstheme="majorBidi"/>
        </w:rPr>
        <w:t>After 4 weeks of therapy (fourth injection), the patient developed:</w:t>
      </w:r>
    </w:p>
    <w:p w:rsidR="003E3971" w:rsidRPr="003E3971" w:rsidRDefault="003E3971" w:rsidP="003E3971">
      <w:pPr>
        <w:numPr>
          <w:ilvl w:val="0"/>
          <w:numId w:val="2"/>
        </w:numPr>
        <w:spacing w:line="480" w:lineRule="auto"/>
        <w:rPr>
          <w:rFonts w:asciiTheme="majorBidi" w:hAnsiTheme="majorBidi" w:cstheme="majorBidi"/>
        </w:rPr>
      </w:pPr>
      <w:r w:rsidRPr="003E3971">
        <w:rPr>
          <w:rFonts w:asciiTheme="majorBidi" w:hAnsiTheme="majorBidi" w:cstheme="majorBidi"/>
        </w:rPr>
        <w:t>Persistent nausea</w:t>
      </w:r>
    </w:p>
    <w:p w:rsidR="003E3971" w:rsidRPr="003E3971" w:rsidRDefault="003E3971" w:rsidP="003E3971">
      <w:pPr>
        <w:numPr>
          <w:ilvl w:val="0"/>
          <w:numId w:val="2"/>
        </w:numPr>
        <w:spacing w:line="480" w:lineRule="auto"/>
        <w:rPr>
          <w:rFonts w:asciiTheme="majorBidi" w:hAnsiTheme="majorBidi" w:cstheme="majorBidi"/>
        </w:rPr>
      </w:pPr>
      <w:r w:rsidRPr="003E3971">
        <w:rPr>
          <w:rFonts w:asciiTheme="majorBidi" w:hAnsiTheme="majorBidi" w:cstheme="majorBidi"/>
        </w:rPr>
        <w:t>Early satiety</w:t>
      </w:r>
    </w:p>
    <w:p w:rsidR="003E3971" w:rsidRPr="003E3971" w:rsidRDefault="003E3971" w:rsidP="003E3971">
      <w:pPr>
        <w:numPr>
          <w:ilvl w:val="0"/>
          <w:numId w:val="2"/>
        </w:numPr>
        <w:spacing w:line="480" w:lineRule="auto"/>
        <w:rPr>
          <w:rFonts w:asciiTheme="majorBidi" w:hAnsiTheme="majorBidi" w:cstheme="majorBidi"/>
        </w:rPr>
      </w:pPr>
      <w:r w:rsidRPr="003E3971">
        <w:rPr>
          <w:rFonts w:asciiTheme="majorBidi" w:hAnsiTheme="majorBidi" w:cstheme="majorBidi"/>
        </w:rPr>
        <w:lastRenderedPageBreak/>
        <w:t>Anorexia</w:t>
      </w:r>
    </w:p>
    <w:p w:rsidR="003E3971" w:rsidRPr="003E3971" w:rsidRDefault="003E3971" w:rsidP="003E3971">
      <w:pPr>
        <w:numPr>
          <w:ilvl w:val="0"/>
          <w:numId w:val="2"/>
        </w:numPr>
        <w:spacing w:line="480" w:lineRule="auto"/>
        <w:rPr>
          <w:rFonts w:asciiTheme="majorBidi" w:hAnsiTheme="majorBidi" w:cstheme="majorBidi"/>
        </w:rPr>
      </w:pPr>
      <w:r w:rsidRPr="003E3971">
        <w:rPr>
          <w:rFonts w:asciiTheme="majorBidi" w:hAnsiTheme="majorBidi" w:cstheme="majorBidi"/>
        </w:rPr>
        <w:t>Diarrhea (new onset, baseline constipation)</w:t>
      </w:r>
    </w:p>
    <w:p w:rsidR="003E3971" w:rsidRPr="003E3971" w:rsidRDefault="003E3971" w:rsidP="003E3971">
      <w:pPr>
        <w:numPr>
          <w:ilvl w:val="0"/>
          <w:numId w:val="2"/>
        </w:numPr>
        <w:spacing w:line="480" w:lineRule="auto"/>
        <w:rPr>
          <w:rFonts w:asciiTheme="majorBidi" w:hAnsiTheme="majorBidi" w:cstheme="majorBidi"/>
        </w:rPr>
      </w:pPr>
      <w:r w:rsidRPr="003E3971">
        <w:rPr>
          <w:rFonts w:asciiTheme="majorBidi" w:hAnsiTheme="majorBidi" w:cstheme="majorBidi"/>
        </w:rPr>
        <w:t xml:space="preserve">Sensation of food sticking in the </w:t>
      </w:r>
      <w:proofErr w:type="spellStart"/>
      <w:r w:rsidRPr="003E3971">
        <w:rPr>
          <w:rFonts w:asciiTheme="majorBidi" w:hAnsiTheme="majorBidi" w:cstheme="majorBidi"/>
        </w:rPr>
        <w:t>oesophagus</w:t>
      </w:r>
      <w:proofErr w:type="spellEnd"/>
    </w:p>
    <w:p w:rsidR="003E3971" w:rsidRPr="003E3971" w:rsidRDefault="003E3971" w:rsidP="003E3971">
      <w:pPr>
        <w:numPr>
          <w:ilvl w:val="0"/>
          <w:numId w:val="2"/>
        </w:numPr>
        <w:spacing w:line="480" w:lineRule="auto"/>
        <w:rPr>
          <w:rFonts w:asciiTheme="majorBidi" w:hAnsiTheme="majorBidi" w:cstheme="majorBidi"/>
        </w:rPr>
      </w:pPr>
      <w:r w:rsidRPr="003E3971">
        <w:rPr>
          <w:rFonts w:asciiTheme="majorBidi" w:hAnsiTheme="majorBidi" w:cstheme="majorBidi"/>
        </w:rPr>
        <w:t>5 kg weight loss (BMI dropped to 19.5 kg/m²)</w:t>
      </w:r>
    </w:p>
    <w:p w:rsidR="003E3971" w:rsidRPr="003E3971" w:rsidRDefault="003E3971" w:rsidP="003E3971">
      <w:pPr>
        <w:spacing w:line="480" w:lineRule="auto"/>
        <w:rPr>
          <w:rFonts w:asciiTheme="majorBidi" w:hAnsiTheme="majorBidi" w:cstheme="majorBidi"/>
        </w:rPr>
      </w:pPr>
      <w:r w:rsidRPr="003E3971">
        <w:rPr>
          <w:rFonts w:asciiTheme="majorBidi" w:hAnsiTheme="majorBidi" w:cstheme="majorBidi"/>
        </w:rPr>
        <w:t>She denied vomiting, abdominal pain, fever, jaundice, or gastrointestinal bleeding.</w:t>
      </w:r>
    </w:p>
    <w:p w:rsidR="003E3971" w:rsidRPr="003E3971" w:rsidRDefault="003E3971" w:rsidP="003E3971">
      <w:pPr>
        <w:spacing w:line="480" w:lineRule="auto"/>
        <w:rPr>
          <w:rFonts w:asciiTheme="majorBidi" w:hAnsiTheme="majorBidi" w:cstheme="majorBidi"/>
        </w:rPr>
      </w:pPr>
      <w:r w:rsidRPr="003E3971">
        <w:rPr>
          <w:rFonts w:asciiTheme="majorBidi" w:hAnsiTheme="majorBidi" w:cstheme="majorBidi"/>
        </w:rPr>
        <w:t>On examination:</w:t>
      </w:r>
    </w:p>
    <w:p w:rsidR="003E3971" w:rsidRPr="003E3971" w:rsidRDefault="003E3971" w:rsidP="003E3971">
      <w:pPr>
        <w:numPr>
          <w:ilvl w:val="0"/>
          <w:numId w:val="3"/>
        </w:numPr>
        <w:spacing w:line="480" w:lineRule="auto"/>
        <w:rPr>
          <w:rFonts w:asciiTheme="majorBidi" w:hAnsiTheme="majorBidi" w:cstheme="majorBidi"/>
        </w:rPr>
      </w:pPr>
      <w:r w:rsidRPr="003E3971">
        <w:rPr>
          <w:rFonts w:asciiTheme="majorBidi" w:hAnsiTheme="majorBidi" w:cstheme="majorBidi"/>
        </w:rPr>
        <w:t>Vital signs stable, hydration adequate</w:t>
      </w:r>
    </w:p>
    <w:p w:rsidR="003E3971" w:rsidRPr="003E3971" w:rsidRDefault="003E3971" w:rsidP="003E3971">
      <w:pPr>
        <w:numPr>
          <w:ilvl w:val="0"/>
          <w:numId w:val="3"/>
        </w:numPr>
        <w:spacing w:line="480" w:lineRule="auto"/>
        <w:rPr>
          <w:rFonts w:asciiTheme="majorBidi" w:hAnsiTheme="majorBidi" w:cstheme="majorBidi"/>
        </w:rPr>
      </w:pPr>
      <w:r w:rsidRPr="003E3971">
        <w:rPr>
          <w:rFonts w:asciiTheme="majorBidi" w:hAnsiTheme="majorBidi" w:cstheme="majorBidi"/>
        </w:rPr>
        <w:t>Mild epigastric tenderness</w:t>
      </w:r>
    </w:p>
    <w:p w:rsidR="003E3971" w:rsidRPr="003E3971" w:rsidRDefault="003E3971" w:rsidP="003E3971">
      <w:pPr>
        <w:numPr>
          <w:ilvl w:val="0"/>
          <w:numId w:val="3"/>
        </w:numPr>
        <w:spacing w:line="480" w:lineRule="auto"/>
        <w:rPr>
          <w:rFonts w:asciiTheme="majorBidi" w:hAnsiTheme="majorBidi" w:cstheme="majorBidi"/>
        </w:rPr>
      </w:pPr>
      <w:r w:rsidRPr="003E3971">
        <w:rPr>
          <w:rFonts w:asciiTheme="majorBidi" w:hAnsiTheme="majorBidi" w:cstheme="majorBidi"/>
        </w:rPr>
        <w:t>No organomegaly</w:t>
      </w:r>
    </w:p>
    <w:p w:rsidR="003E3971" w:rsidRPr="003E3971" w:rsidRDefault="003E3971" w:rsidP="003E3971">
      <w:pPr>
        <w:numPr>
          <w:ilvl w:val="0"/>
          <w:numId w:val="3"/>
        </w:numPr>
        <w:spacing w:line="480" w:lineRule="auto"/>
        <w:rPr>
          <w:rFonts w:asciiTheme="majorBidi" w:hAnsiTheme="majorBidi" w:cstheme="majorBidi"/>
        </w:rPr>
      </w:pPr>
      <w:r w:rsidRPr="003E3971">
        <w:rPr>
          <w:rFonts w:asciiTheme="majorBidi" w:hAnsiTheme="majorBidi" w:cstheme="majorBidi"/>
        </w:rPr>
        <w:t>Cardiovascular, respiratory, and neurological examinations normal</w:t>
      </w:r>
    </w:p>
    <w:p w:rsidR="003E3971" w:rsidRPr="003E3971" w:rsidRDefault="003E3971" w:rsidP="003E3971">
      <w:pPr>
        <w:spacing w:line="480" w:lineRule="auto"/>
        <w:rPr>
          <w:rFonts w:asciiTheme="majorBidi" w:hAnsiTheme="majorBidi" w:cstheme="majorBidi"/>
          <w:b/>
          <w:bCs/>
        </w:rPr>
      </w:pPr>
      <w:r w:rsidRPr="003E3971">
        <w:rPr>
          <w:rFonts w:asciiTheme="majorBidi" w:hAnsiTheme="majorBidi" w:cstheme="majorBidi"/>
          <w:b/>
          <w:bCs/>
        </w:rPr>
        <w:t>Timeline</w:t>
      </w:r>
      <w:r w:rsidR="00173C95">
        <w:rPr>
          <w:rFonts w:asciiTheme="majorBidi" w:hAnsiTheme="majorBidi" w:cstheme="majorBidi"/>
          <w:b/>
          <w:bCs/>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top w:w="15" w:type="dxa"/>
          <w:left w:w="15" w:type="dxa"/>
          <w:bottom w:w="15" w:type="dxa"/>
          <w:right w:w="15" w:type="dxa"/>
        </w:tblCellMar>
        <w:tblLook w:val="04A0" w:firstRow="1" w:lastRow="0" w:firstColumn="1" w:lastColumn="0" w:noHBand="0" w:noVBand="1"/>
      </w:tblPr>
      <w:tblGrid>
        <w:gridCol w:w="3095"/>
        <w:gridCol w:w="1378"/>
        <w:gridCol w:w="4284"/>
      </w:tblGrid>
      <w:tr w:rsidR="003E3971" w:rsidRPr="003E3971" w:rsidTr="00173C95">
        <w:trPr>
          <w:tblHeader/>
          <w:tblCellSpacing w:w="15" w:type="dxa"/>
        </w:trPr>
        <w:tc>
          <w:tcPr>
            <w:tcW w:w="0" w:type="auto"/>
            <w:shd w:val="clear" w:color="auto" w:fill="B4C6E7" w:themeFill="accent1" w:themeFillTint="66"/>
            <w:vAlign w:val="center"/>
            <w:hideMark/>
          </w:tcPr>
          <w:p w:rsidR="003E3971" w:rsidRPr="009F2461" w:rsidRDefault="003E3971" w:rsidP="003E3971">
            <w:pPr>
              <w:spacing w:line="480" w:lineRule="auto"/>
              <w:rPr>
                <w:rFonts w:asciiTheme="majorBidi" w:hAnsiTheme="majorBidi" w:cstheme="majorBidi"/>
                <w:b/>
                <w:bCs/>
                <w:sz w:val="22"/>
                <w:szCs w:val="22"/>
              </w:rPr>
            </w:pPr>
            <w:r w:rsidRPr="009F2461">
              <w:rPr>
                <w:rFonts w:asciiTheme="majorBidi" w:hAnsiTheme="majorBidi" w:cstheme="majorBidi"/>
                <w:b/>
                <w:bCs/>
                <w:sz w:val="22"/>
                <w:szCs w:val="22"/>
              </w:rPr>
              <w:t>Event</w:t>
            </w:r>
          </w:p>
        </w:tc>
        <w:tc>
          <w:tcPr>
            <w:tcW w:w="0" w:type="auto"/>
            <w:shd w:val="clear" w:color="auto" w:fill="B4C6E7" w:themeFill="accent1" w:themeFillTint="66"/>
            <w:vAlign w:val="center"/>
            <w:hideMark/>
          </w:tcPr>
          <w:p w:rsidR="003E3971" w:rsidRPr="009F2461" w:rsidRDefault="003E3971" w:rsidP="003E3971">
            <w:pPr>
              <w:spacing w:line="480" w:lineRule="auto"/>
              <w:rPr>
                <w:rFonts w:asciiTheme="majorBidi" w:hAnsiTheme="majorBidi" w:cstheme="majorBidi"/>
                <w:b/>
                <w:bCs/>
                <w:sz w:val="22"/>
                <w:szCs w:val="22"/>
              </w:rPr>
            </w:pPr>
            <w:r w:rsidRPr="009F2461">
              <w:rPr>
                <w:rFonts w:asciiTheme="majorBidi" w:hAnsiTheme="majorBidi" w:cstheme="majorBidi"/>
                <w:b/>
                <w:bCs/>
                <w:sz w:val="22"/>
                <w:szCs w:val="22"/>
              </w:rPr>
              <w:t>Time (Weeks)</w:t>
            </w:r>
          </w:p>
        </w:tc>
        <w:tc>
          <w:tcPr>
            <w:tcW w:w="0" w:type="auto"/>
            <w:shd w:val="clear" w:color="auto" w:fill="B4C6E7" w:themeFill="accent1" w:themeFillTint="66"/>
            <w:vAlign w:val="center"/>
            <w:hideMark/>
          </w:tcPr>
          <w:p w:rsidR="003E3971" w:rsidRPr="009F2461" w:rsidRDefault="003E3971" w:rsidP="003E3971">
            <w:pPr>
              <w:spacing w:line="480" w:lineRule="auto"/>
              <w:rPr>
                <w:rFonts w:asciiTheme="majorBidi" w:hAnsiTheme="majorBidi" w:cstheme="majorBidi"/>
                <w:b/>
                <w:bCs/>
                <w:sz w:val="22"/>
                <w:szCs w:val="22"/>
              </w:rPr>
            </w:pPr>
            <w:r w:rsidRPr="009F2461">
              <w:rPr>
                <w:rFonts w:asciiTheme="majorBidi" w:hAnsiTheme="majorBidi" w:cstheme="majorBidi"/>
                <w:b/>
                <w:bCs/>
                <w:sz w:val="22"/>
                <w:szCs w:val="22"/>
              </w:rPr>
              <w:t>Findings/Management</w:t>
            </w:r>
          </w:p>
        </w:tc>
      </w:tr>
      <w:tr w:rsidR="003E3971" w:rsidRPr="003E3971" w:rsidTr="00173C95">
        <w:trPr>
          <w:tblCellSpacing w:w="15" w:type="dxa"/>
        </w:trPr>
        <w:tc>
          <w:tcPr>
            <w:tcW w:w="0" w:type="auto"/>
            <w:shd w:val="clear" w:color="auto" w:fill="auto"/>
            <w:vAlign w:val="center"/>
            <w:hideMark/>
          </w:tcPr>
          <w:p w:rsidR="003E3971" w:rsidRPr="009F2461" w:rsidRDefault="003E3971" w:rsidP="003E3971">
            <w:pPr>
              <w:spacing w:line="480" w:lineRule="auto"/>
              <w:rPr>
                <w:rFonts w:asciiTheme="majorBidi" w:hAnsiTheme="majorBidi" w:cstheme="majorBidi"/>
                <w:sz w:val="22"/>
                <w:szCs w:val="22"/>
              </w:rPr>
            </w:pPr>
            <w:r w:rsidRPr="009F2461">
              <w:rPr>
                <w:rFonts w:asciiTheme="majorBidi" w:hAnsiTheme="majorBidi" w:cstheme="majorBidi"/>
                <w:sz w:val="22"/>
                <w:szCs w:val="22"/>
              </w:rPr>
              <w:t xml:space="preserve">Start </w:t>
            </w:r>
            <w:proofErr w:type="spellStart"/>
            <w:r w:rsidRPr="009F2461">
              <w:rPr>
                <w:rFonts w:asciiTheme="majorBidi" w:hAnsiTheme="majorBidi" w:cstheme="majorBidi"/>
                <w:sz w:val="22"/>
                <w:szCs w:val="22"/>
              </w:rPr>
              <w:t>semaglutide</w:t>
            </w:r>
            <w:proofErr w:type="spellEnd"/>
            <w:r w:rsidRPr="009F2461">
              <w:rPr>
                <w:rFonts w:asciiTheme="majorBidi" w:hAnsiTheme="majorBidi" w:cstheme="majorBidi"/>
                <w:sz w:val="22"/>
                <w:szCs w:val="22"/>
              </w:rPr>
              <w:t xml:space="preserve"> 0.25 mg weekly</w:t>
            </w:r>
          </w:p>
        </w:tc>
        <w:tc>
          <w:tcPr>
            <w:tcW w:w="0" w:type="auto"/>
            <w:shd w:val="clear" w:color="auto" w:fill="auto"/>
            <w:vAlign w:val="center"/>
            <w:hideMark/>
          </w:tcPr>
          <w:p w:rsidR="003E3971" w:rsidRPr="009F2461" w:rsidRDefault="003E3971" w:rsidP="003E3971">
            <w:pPr>
              <w:spacing w:line="480" w:lineRule="auto"/>
              <w:rPr>
                <w:rFonts w:asciiTheme="majorBidi" w:hAnsiTheme="majorBidi" w:cstheme="majorBidi"/>
                <w:sz w:val="22"/>
                <w:szCs w:val="22"/>
              </w:rPr>
            </w:pPr>
            <w:r w:rsidRPr="009F2461">
              <w:rPr>
                <w:rFonts w:asciiTheme="majorBidi" w:hAnsiTheme="majorBidi" w:cstheme="majorBidi"/>
                <w:sz w:val="22"/>
                <w:szCs w:val="22"/>
              </w:rPr>
              <w:t>Week 0</w:t>
            </w:r>
          </w:p>
        </w:tc>
        <w:tc>
          <w:tcPr>
            <w:tcW w:w="0" w:type="auto"/>
            <w:shd w:val="clear" w:color="auto" w:fill="auto"/>
            <w:vAlign w:val="center"/>
            <w:hideMark/>
          </w:tcPr>
          <w:p w:rsidR="003E3971" w:rsidRPr="009F2461" w:rsidRDefault="003E3971" w:rsidP="003E3971">
            <w:pPr>
              <w:spacing w:line="480" w:lineRule="auto"/>
              <w:rPr>
                <w:rFonts w:asciiTheme="majorBidi" w:hAnsiTheme="majorBidi" w:cstheme="majorBidi"/>
                <w:sz w:val="22"/>
                <w:szCs w:val="22"/>
              </w:rPr>
            </w:pPr>
            <w:r w:rsidRPr="009F2461">
              <w:rPr>
                <w:rFonts w:asciiTheme="majorBidi" w:hAnsiTheme="majorBidi" w:cstheme="majorBidi"/>
                <w:sz w:val="22"/>
                <w:szCs w:val="22"/>
              </w:rPr>
              <w:t>Weight 55 kg, BMI 21.5</w:t>
            </w:r>
          </w:p>
        </w:tc>
      </w:tr>
      <w:tr w:rsidR="003E3971" w:rsidRPr="003E3971" w:rsidTr="00173C95">
        <w:trPr>
          <w:tblCellSpacing w:w="15" w:type="dxa"/>
        </w:trPr>
        <w:tc>
          <w:tcPr>
            <w:tcW w:w="0" w:type="auto"/>
            <w:shd w:val="clear" w:color="auto" w:fill="B4C6E7" w:themeFill="accent1" w:themeFillTint="66"/>
            <w:vAlign w:val="center"/>
            <w:hideMark/>
          </w:tcPr>
          <w:p w:rsidR="003E3971" w:rsidRPr="009F2461" w:rsidRDefault="003E3971" w:rsidP="003E3971">
            <w:pPr>
              <w:spacing w:line="480" w:lineRule="auto"/>
              <w:rPr>
                <w:rFonts w:asciiTheme="majorBidi" w:hAnsiTheme="majorBidi" w:cstheme="majorBidi"/>
                <w:sz w:val="22"/>
                <w:szCs w:val="22"/>
              </w:rPr>
            </w:pPr>
            <w:r w:rsidRPr="009F2461">
              <w:rPr>
                <w:rFonts w:asciiTheme="majorBidi" w:hAnsiTheme="majorBidi" w:cstheme="majorBidi"/>
                <w:sz w:val="22"/>
                <w:szCs w:val="22"/>
              </w:rPr>
              <w:t>After 4th injection</w:t>
            </w:r>
          </w:p>
        </w:tc>
        <w:tc>
          <w:tcPr>
            <w:tcW w:w="0" w:type="auto"/>
            <w:shd w:val="clear" w:color="auto" w:fill="B4C6E7" w:themeFill="accent1" w:themeFillTint="66"/>
            <w:vAlign w:val="center"/>
            <w:hideMark/>
          </w:tcPr>
          <w:p w:rsidR="003E3971" w:rsidRPr="009F2461" w:rsidRDefault="003E3971" w:rsidP="003E3971">
            <w:pPr>
              <w:spacing w:line="480" w:lineRule="auto"/>
              <w:rPr>
                <w:rFonts w:asciiTheme="majorBidi" w:hAnsiTheme="majorBidi" w:cstheme="majorBidi"/>
                <w:sz w:val="22"/>
                <w:szCs w:val="22"/>
              </w:rPr>
            </w:pPr>
            <w:r w:rsidRPr="009F2461">
              <w:rPr>
                <w:rFonts w:asciiTheme="majorBidi" w:hAnsiTheme="majorBidi" w:cstheme="majorBidi"/>
                <w:sz w:val="22"/>
                <w:szCs w:val="22"/>
              </w:rPr>
              <w:t>Week 4</w:t>
            </w:r>
          </w:p>
        </w:tc>
        <w:tc>
          <w:tcPr>
            <w:tcW w:w="0" w:type="auto"/>
            <w:shd w:val="clear" w:color="auto" w:fill="B4C6E7" w:themeFill="accent1" w:themeFillTint="66"/>
            <w:vAlign w:val="center"/>
            <w:hideMark/>
          </w:tcPr>
          <w:p w:rsidR="003E3971" w:rsidRPr="009F2461" w:rsidRDefault="003E3971" w:rsidP="003E3971">
            <w:pPr>
              <w:spacing w:line="480" w:lineRule="auto"/>
              <w:rPr>
                <w:rFonts w:asciiTheme="majorBidi" w:hAnsiTheme="majorBidi" w:cstheme="majorBidi"/>
                <w:sz w:val="22"/>
                <w:szCs w:val="22"/>
              </w:rPr>
            </w:pPr>
            <w:r w:rsidRPr="009F2461">
              <w:rPr>
                <w:rFonts w:asciiTheme="majorBidi" w:hAnsiTheme="majorBidi" w:cstheme="majorBidi"/>
                <w:sz w:val="22"/>
                <w:szCs w:val="22"/>
              </w:rPr>
              <w:t>Nausea, diarrhea, early satiety, 5 kg weight loss</w:t>
            </w:r>
          </w:p>
        </w:tc>
      </w:tr>
      <w:tr w:rsidR="003E3971" w:rsidRPr="003E3971" w:rsidTr="00173C95">
        <w:trPr>
          <w:tblCellSpacing w:w="15" w:type="dxa"/>
        </w:trPr>
        <w:tc>
          <w:tcPr>
            <w:tcW w:w="0" w:type="auto"/>
            <w:shd w:val="clear" w:color="auto" w:fill="auto"/>
            <w:vAlign w:val="center"/>
            <w:hideMark/>
          </w:tcPr>
          <w:p w:rsidR="003E3971" w:rsidRPr="009F2461" w:rsidRDefault="003E3971" w:rsidP="003E3971">
            <w:pPr>
              <w:spacing w:line="480" w:lineRule="auto"/>
              <w:rPr>
                <w:rFonts w:asciiTheme="majorBidi" w:hAnsiTheme="majorBidi" w:cstheme="majorBidi"/>
                <w:sz w:val="22"/>
                <w:szCs w:val="22"/>
              </w:rPr>
            </w:pPr>
            <w:r w:rsidRPr="009F2461">
              <w:rPr>
                <w:rFonts w:asciiTheme="majorBidi" w:hAnsiTheme="majorBidi" w:cstheme="majorBidi"/>
                <w:sz w:val="22"/>
                <w:szCs w:val="22"/>
              </w:rPr>
              <w:t>Investigations</w:t>
            </w:r>
          </w:p>
        </w:tc>
        <w:tc>
          <w:tcPr>
            <w:tcW w:w="0" w:type="auto"/>
            <w:shd w:val="clear" w:color="auto" w:fill="auto"/>
            <w:vAlign w:val="center"/>
            <w:hideMark/>
          </w:tcPr>
          <w:p w:rsidR="003E3971" w:rsidRPr="009F2461" w:rsidRDefault="003E3971" w:rsidP="003E3971">
            <w:pPr>
              <w:spacing w:line="480" w:lineRule="auto"/>
              <w:rPr>
                <w:rFonts w:asciiTheme="majorBidi" w:hAnsiTheme="majorBidi" w:cstheme="majorBidi"/>
                <w:sz w:val="22"/>
                <w:szCs w:val="22"/>
              </w:rPr>
            </w:pPr>
            <w:r w:rsidRPr="009F2461">
              <w:rPr>
                <w:rFonts w:asciiTheme="majorBidi" w:hAnsiTheme="majorBidi" w:cstheme="majorBidi"/>
                <w:sz w:val="22"/>
                <w:szCs w:val="22"/>
              </w:rPr>
              <w:t>Week 4</w:t>
            </w:r>
          </w:p>
        </w:tc>
        <w:tc>
          <w:tcPr>
            <w:tcW w:w="0" w:type="auto"/>
            <w:shd w:val="clear" w:color="auto" w:fill="auto"/>
            <w:vAlign w:val="center"/>
            <w:hideMark/>
          </w:tcPr>
          <w:p w:rsidR="003E3971" w:rsidRPr="009F2461" w:rsidRDefault="003E3971" w:rsidP="003E3971">
            <w:pPr>
              <w:spacing w:line="480" w:lineRule="auto"/>
              <w:rPr>
                <w:rFonts w:asciiTheme="majorBidi" w:hAnsiTheme="majorBidi" w:cstheme="majorBidi"/>
                <w:sz w:val="22"/>
                <w:szCs w:val="22"/>
              </w:rPr>
            </w:pPr>
            <w:r w:rsidRPr="009F2461">
              <w:rPr>
                <w:rFonts w:asciiTheme="majorBidi" w:hAnsiTheme="majorBidi" w:cstheme="majorBidi"/>
                <w:sz w:val="22"/>
                <w:szCs w:val="22"/>
              </w:rPr>
              <w:t>Normal labs, US: hepatic granulomas</w:t>
            </w:r>
          </w:p>
        </w:tc>
      </w:tr>
      <w:tr w:rsidR="003E3971" w:rsidRPr="003E3971" w:rsidTr="00173C95">
        <w:trPr>
          <w:tblCellSpacing w:w="15" w:type="dxa"/>
        </w:trPr>
        <w:tc>
          <w:tcPr>
            <w:tcW w:w="0" w:type="auto"/>
            <w:shd w:val="clear" w:color="auto" w:fill="B4C6E7" w:themeFill="accent1" w:themeFillTint="66"/>
            <w:vAlign w:val="center"/>
            <w:hideMark/>
          </w:tcPr>
          <w:p w:rsidR="003E3971" w:rsidRPr="009F2461" w:rsidRDefault="003E3971" w:rsidP="003E3971">
            <w:pPr>
              <w:spacing w:line="480" w:lineRule="auto"/>
              <w:rPr>
                <w:rFonts w:asciiTheme="majorBidi" w:hAnsiTheme="majorBidi" w:cstheme="majorBidi"/>
                <w:sz w:val="22"/>
                <w:szCs w:val="22"/>
              </w:rPr>
            </w:pPr>
            <w:r w:rsidRPr="009F2461">
              <w:rPr>
                <w:rFonts w:asciiTheme="majorBidi" w:hAnsiTheme="majorBidi" w:cstheme="majorBidi"/>
                <w:sz w:val="22"/>
                <w:szCs w:val="22"/>
              </w:rPr>
              <w:t xml:space="preserve">Discontinued </w:t>
            </w:r>
            <w:proofErr w:type="spellStart"/>
            <w:r w:rsidRPr="009F2461">
              <w:rPr>
                <w:rFonts w:asciiTheme="majorBidi" w:hAnsiTheme="majorBidi" w:cstheme="majorBidi"/>
                <w:sz w:val="22"/>
                <w:szCs w:val="22"/>
              </w:rPr>
              <w:t>semaglutide</w:t>
            </w:r>
            <w:proofErr w:type="spellEnd"/>
          </w:p>
        </w:tc>
        <w:tc>
          <w:tcPr>
            <w:tcW w:w="0" w:type="auto"/>
            <w:shd w:val="clear" w:color="auto" w:fill="B4C6E7" w:themeFill="accent1" w:themeFillTint="66"/>
            <w:vAlign w:val="center"/>
            <w:hideMark/>
          </w:tcPr>
          <w:p w:rsidR="003E3971" w:rsidRPr="009F2461" w:rsidRDefault="003E3971" w:rsidP="003E3971">
            <w:pPr>
              <w:spacing w:line="480" w:lineRule="auto"/>
              <w:rPr>
                <w:rFonts w:asciiTheme="majorBidi" w:hAnsiTheme="majorBidi" w:cstheme="majorBidi"/>
                <w:sz w:val="22"/>
                <w:szCs w:val="22"/>
              </w:rPr>
            </w:pPr>
            <w:r w:rsidRPr="009F2461">
              <w:rPr>
                <w:rFonts w:asciiTheme="majorBidi" w:hAnsiTheme="majorBidi" w:cstheme="majorBidi"/>
                <w:sz w:val="22"/>
                <w:szCs w:val="22"/>
              </w:rPr>
              <w:t>Week 4</w:t>
            </w:r>
          </w:p>
        </w:tc>
        <w:tc>
          <w:tcPr>
            <w:tcW w:w="0" w:type="auto"/>
            <w:shd w:val="clear" w:color="auto" w:fill="B4C6E7" w:themeFill="accent1" w:themeFillTint="66"/>
            <w:vAlign w:val="center"/>
            <w:hideMark/>
          </w:tcPr>
          <w:p w:rsidR="003E3971" w:rsidRPr="009F2461" w:rsidRDefault="003E3971" w:rsidP="003E3971">
            <w:pPr>
              <w:spacing w:line="480" w:lineRule="auto"/>
              <w:rPr>
                <w:rFonts w:asciiTheme="majorBidi" w:hAnsiTheme="majorBidi" w:cstheme="majorBidi"/>
                <w:sz w:val="22"/>
                <w:szCs w:val="22"/>
              </w:rPr>
            </w:pPr>
            <w:r w:rsidRPr="009F2461">
              <w:rPr>
                <w:rFonts w:asciiTheme="majorBidi" w:hAnsiTheme="majorBidi" w:cstheme="majorBidi"/>
                <w:sz w:val="22"/>
                <w:szCs w:val="22"/>
              </w:rPr>
              <w:t>Started PPI, domperidone, diet modifications</w:t>
            </w:r>
          </w:p>
        </w:tc>
      </w:tr>
      <w:tr w:rsidR="003E3971" w:rsidRPr="003E3971" w:rsidTr="00173C95">
        <w:trPr>
          <w:tblCellSpacing w:w="15" w:type="dxa"/>
        </w:trPr>
        <w:tc>
          <w:tcPr>
            <w:tcW w:w="0" w:type="auto"/>
            <w:shd w:val="clear" w:color="auto" w:fill="auto"/>
            <w:vAlign w:val="center"/>
            <w:hideMark/>
          </w:tcPr>
          <w:p w:rsidR="003E3971" w:rsidRPr="009F2461" w:rsidRDefault="003E3971" w:rsidP="003E3971">
            <w:pPr>
              <w:spacing w:line="480" w:lineRule="auto"/>
              <w:rPr>
                <w:rFonts w:asciiTheme="majorBidi" w:hAnsiTheme="majorBidi" w:cstheme="majorBidi"/>
                <w:sz w:val="22"/>
                <w:szCs w:val="22"/>
              </w:rPr>
            </w:pPr>
            <w:r w:rsidRPr="009F2461">
              <w:rPr>
                <w:rFonts w:asciiTheme="majorBidi" w:hAnsiTheme="majorBidi" w:cstheme="majorBidi"/>
                <w:sz w:val="22"/>
                <w:szCs w:val="22"/>
              </w:rPr>
              <w:t>Follow-up</w:t>
            </w:r>
          </w:p>
        </w:tc>
        <w:tc>
          <w:tcPr>
            <w:tcW w:w="0" w:type="auto"/>
            <w:shd w:val="clear" w:color="auto" w:fill="auto"/>
            <w:vAlign w:val="center"/>
            <w:hideMark/>
          </w:tcPr>
          <w:p w:rsidR="003E3971" w:rsidRPr="009F2461" w:rsidRDefault="003E3971" w:rsidP="003E3971">
            <w:pPr>
              <w:spacing w:line="480" w:lineRule="auto"/>
              <w:rPr>
                <w:rFonts w:asciiTheme="majorBidi" w:hAnsiTheme="majorBidi" w:cstheme="majorBidi"/>
                <w:sz w:val="22"/>
                <w:szCs w:val="22"/>
              </w:rPr>
            </w:pPr>
            <w:r w:rsidRPr="009F2461">
              <w:rPr>
                <w:rFonts w:asciiTheme="majorBidi" w:hAnsiTheme="majorBidi" w:cstheme="majorBidi"/>
                <w:sz w:val="22"/>
                <w:szCs w:val="22"/>
              </w:rPr>
              <w:t>Week 7</w:t>
            </w:r>
          </w:p>
        </w:tc>
        <w:tc>
          <w:tcPr>
            <w:tcW w:w="0" w:type="auto"/>
            <w:shd w:val="clear" w:color="auto" w:fill="auto"/>
            <w:vAlign w:val="center"/>
            <w:hideMark/>
          </w:tcPr>
          <w:p w:rsidR="003E3971" w:rsidRPr="009F2461" w:rsidRDefault="003E3971" w:rsidP="003E3971">
            <w:pPr>
              <w:spacing w:line="480" w:lineRule="auto"/>
              <w:rPr>
                <w:rFonts w:asciiTheme="majorBidi" w:hAnsiTheme="majorBidi" w:cstheme="majorBidi"/>
                <w:sz w:val="22"/>
                <w:szCs w:val="22"/>
              </w:rPr>
            </w:pPr>
            <w:r w:rsidRPr="009F2461">
              <w:rPr>
                <w:rFonts w:asciiTheme="majorBidi" w:hAnsiTheme="majorBidi" w:cstheme="majorBidi"/>
                <w:sz w:val="22"/>
                <w:szCs w:val="22"/>
              </w:rPr>
              <w:t>Symptoms improved, weight stable</w:t>
            </w:r>
          </w:p>
        </w:tc>
      </w:tr>
      <w:tr w:rsidR="003E3971" w:rsidRPr="003E3971" w:rsidTr="00173C95">
        <w:trPr>
          <w:tblCellSpacing w:w="15" w:type="dxa"/>
        </w:trPr>
        <w:tc>
          <w:tcPr>
            <w:tcW w:w="0" w:type="auto"/>
            <w:shd w:val="clear" w:color="auto" w:fill="B4C6E7" w:themeFill="accent1" w:themeFillTint="66"/>
            <w:vAlign w:val="center"/>
            <w:hideMark/>
          </w:tcPr>
          <w:p w:rsidR="003E3971" w:rsidRPr="009F2461" w:rsidRDefault="003E3971" w:rsidP="003E3971">
            <w:pPr>
              <w:spacing w:line="480" w:lineRule="auto"/>
              <w:rPr>
                <w:rFonts w:asciiTheme="majorBidi" w:hAnsiTheme="majorBidi" w:cstheme="majorBidi"/>
                <w:sz w:val="22"/>
                <w:szCs w:val="22"/>
              </w:rPr>
            </w:pPr>
            <w:r w:rsidRPr="009F2461">
              <w:rPr>
                <w:rFonts w:asciiTheme="majorBidi" w:hAnsiTheme="majorBidi" w:cstheme="majorBidi"/>
                <w:sz w:val="22"/>
                <w:szCs w:val="22"/>
              </w:rPr>
              <w:t>Repeat ultrasound</w:t>
            </w:r>
          </w:p>
        </w:tc>
        <w:tc>
          <w:tcPr>
            <w:tcW w:w="0" w:type="auto"/>
            <w:shd w:val="clear" w:color="auto" w:fill="B4C6E7" w:themeFill="accent1" w:themeFillTint="66"/>
            <w:vAlign w:val="center"/>
            <w:hideMark/>
          </w:tcPr>
          <w:p w:rsidR="003E3971" w:rsidRPr="009F2461" w:rsidRDefault="003E3971" w:rsidP="003E3971">
            <w:pPr>
              <w:spacing w:line="480" w:lineRule="auto"/>
              <w:rPr>
                <w:rFonts w:asciiTheme="majorBidi" w:hAnsiTheme="majorBidi" w:cstheme="majorBidi"/>
                <w:sz w:val="22"/>
                <w:szCs w:val="22"/>
              </w:rPr>
            </w:pPr>
            <w:r w:rsidRPr="009F2461">
              <w:rPr>
                <w:rFonts w:asciiTheme="majorBidi" w:hAnsiTheme="majorBidi" w:cstheme="majorBidi"/>
                <w:sz w:val="22"/>
                <w:szCs w:val="22"/>
              </w:rPr>
              <w:t>Week 7</w:t>
            </w:r>
          </w:p>
        </w:tc>
        <w:tc>
          <w:tcPr>
            <w:tcW w:w="0" w:type="auto"/>
            <w:shd w:val="clear" w:color="auto" w:fill="B4C6E7" w:themeFill="accent1" w:themeFillTint="66"/>
            <w:vAlign w:val="center"/>
            <w:hideMark/>
          </w:tcPr>
          <w:p w:rsidR="003E3971" w:rsidRPr="009F2461" w:rsidRDefault="003E3971" w:rsidP="003E3971">
            <w:pPr>
              <w:spacing w:line="480" w:lineRule="auto"/>
              <w:rPr>
                <w:rFonts w:asciiTheme="majorBidi" w:hAnsiTheme="majorBidi" w:cstheme="majorBidi"/>
                <w:sz w:val="22"/>
                <w:szCs w:val="22"/>
              </w:rPr>
            </w:pPr>
            <w:r w:rsidRPr="009F2461">
              <w:rPr>
                <w:rFonts w:asciiTheme="majorBidi" w:hAnsiTheme="majorBidi" w:cstheme="majorBidi"/>
                <w:sz w:val="22"/>
                <w:szCs w:val="22"/>
              </w:rPr>
              <w:t>Resolution of hepatic granulomas</w:t>
            </w:r>
          </w:p>
        </w:tc>
      </w:tr>
      <w:tr w:rsidR="003E3971" w:rsidRPr="003E3971" w:rsidTr="00173C95">
        <w:trPr>
          <w:tblCellSpacing w:w="15" w:type="dxa"/>
        </w:trPr>
        <w:tc>
          <w:tcPr>
            <w:tcW w:w="0" w:type="auto"/>
            <w:shd w:val="clear" w:color="auto" w:fill="auto"/>
            <w:vAlign w:val="center"/>
            <w:hideMark/>
          </w:tcPr>
          <w:p w:rsidR="003E3971" w:rsidRPr="009F2461" w:rsidRDefault="003E3971" w:rsidP="003E3971">
            <w:pPr>
              <w:spacing w:line="480" w:lineRule="auto"/>
              <w:rPr>
                <w:rFonts w:asciiTheme="majorBidi" w:hAnsiTheme="majorBidi" w:cstheme="majorBidi"/>
                <w:sz w:val="22"/>
                <w:szCs w:val="22"/>
              </w:rPr>
            </w:pPr>
            <w:r w:rsidRPr="009F2461">
              <w:rPr>
                <w:rFonts w:asciiTheme="majorBidi" w:hAnsiTheme="majorBidi" w:cstheme="majorBidi"/>
                <w:sz w:val="22"/>
                <w:szCs w:val="22"/>
              </w:rPr>
              <w:t>Liver biopsy</w:t>
            </w:r>
          </w:p>
        </w:tc>
        <w:tc>
          <w:tcPr>
            <w:tcW w:w="0" w:type="auto"/>
            <w:shd w:val="clear" w:color="auto" w:fill="auto"/>
            <w:vAlign w:val="center"/>
            <w:hideMark/>
          </w:tcPr>
          <w:p w:rsidR="003E3971" w:rsidRPr="009F2461" w:rsidRDefault="003E3971" w:rsidP="003E3971">
            <w:pPr>
              <w:spacing w:line="480" w:lineRule="auto"/>
              <w:rPr>
                <w:rFonts w:asciiTheme="majorBidi" w:hAnsiTheme="majorBidi" w:cstheme="majorBidi"/>
                <w:sz w:val="22"/>
                <w:szCs w:val="22"/>
              </w:rPr>
            </w:pPr>
            <w:r w:rsidRPr="009F2461">
              <w:rPr>
                <w:rFonts w:asciiTheme="majorBidi" w:hAnsiTheme="majorBidi" w:cstheme="majorBidi"/>
                <w:sz w:val="22"/>
                <w:szCs w:val="22"/>
              </w:rPr>
              <w:t>Deferred</w:t>
            </w:r>
          </w:p>
        </w:tc>
        <w:tc>
          <w:tcPr>
            <w:tcW w:w="0" w:type="auto"/>
            <w:shd w:val="clear" w:color="auto" w:fill="auto"/>
            <w:vAlign w:val="center"/>
            <w:hideMark/>
          </w:tcPr>
          <w:p w:rsidR="003E3971" w:rsidRPr="009F2461" w:rsidRDefault="003E3971" w:rsidP="003E3971">
            <w:pPr>
              <w:spacing w:line="480" w:lineRule="auto"/>
              <w:rPr>
                <w:rFonts w:asciiTheme="majorBidi" w:hAnsiTheme="majorBidi" w:cstheme="majorBidi"/>
                <w:sz w:val="22"/>
                <w:szCs w:val="22"/>
              </w:rPr>
            </w:pPr>
            <w:r w:rsidRPr="009F2461">
              <w:rPr>
                <w:rFonts w:asciiTheme="majorBidi" w:hAnsiTheme="majorBidi" w:cstheme="majorBidi"/>
                <w:sz w:val="22"/>
                <w:szCs w:val="22"/>
              </w:rPr>
              <w:t>Not required after resolution</w:t>
            </w:r>
          </w:p>
        </w:tc>
      </w:tr>
    </w:tbl>
    <w:p w:rsidR="009F2461" w:rsidRPr="009F2461" w:rsidRDefault="009F2461" w:rsidP="003E3971">
      <w:pPr>
        <w:spacing w:line="480" w:lineRule="auto"/>
        <w:rPr>
          <w:rFonts w:asciiTheme="majorBidi" w:hAnsiTheme="majorBidi" w:cstheme="majorBidi"/>
        </w:rPr>
      </w:pPr>
      <w:r w:rsidRPr="009F2461">
        <w:rPr>
          <w:rFonts w:asciiTheme="majorBidi" w:hAnsiTheme="majorBidi" w:cstheme="majorBidi"/>
        </w:rPr>
        <w:t xml:space="preserve">Table 1: </w:t>
      </w:r>
      <w:r>
        <w:rPr>
          <w:rFonts w:asciiTheme="majorBidi" w:hAnsiTheme="majorBidi" w:cstheme="majorBidi"/>
        </w:rPr>
        <w:t>Timeline</w:t>
      </w:r>
      <w:r w:rsidRPr="009F2461">
        <w:rPr>
          <w:rFonts w:asciiTheme="majorBidi" w:hAnsiTheme="majorBidi" w:cstheme="majorBidi"/>
        </w:rPr>
        <w:t xml:space="preserve"> of Events</w:t>
      </w:r>
    </w:p>
    <w:p w:rsidR="009F2461" w:rsidRDefault="009F2461" w:rsidP="003E3971">
      <w:pPr>
        <w:spacing w:line="480" w:lineRule="auto"/>
        <w:rPr>
          <w:rFonts w:asciiTheme="majorBidi" w:hAnsiTheme="majorBidi" w:cstheme="majorBidi"/>
          <w:b/>
          <w:bCs/>
          <w:sz w:val="28"/>
          <w:szCs w:val="28"/>
        </w:rPr>
      </w:pPr>
    </w:p>
    <w:p w:rsidR="009F2461" w:rsidRDefault="009F2461" w:rsidP="003E3971">
      <w:pPr>
        <w:spacing w:line="480" w:lineRule="auto"/>
        <w:rPr>
          <w:rFonts w:asciiTheme="majorBidi" w:hAnsiTheme="majorBidi" w:cstheme="majorBidi"/>
          <w:b/>
          <w:bCs/>
          <w:sz w:val="28"/>
          <w:szCs w:val="28"/>
        </w:rPr>
      </w:pPr>
    </w:p>
    <w:p w:rsidR="009F2461" w:rsidRDefault="009F2461" w:rsidP="003E3971">
      <w:pPr>
        <w:spacing w:line="480" w:lineRule="auto"/>
        <w:rPr>
          <w:rFonts w:asciiTheme="majorBidi" w:hAnsiTheme="majorBidi" w:cstheme="majorBidi"/>
          <w:b/>
          <w:bCs/>
          <w:sz w:val="28"/>
          <w:szCs w:val="28"/>
        </w:rPr>
      </w:pPr>
    </w:p>
    <w:p w:rsidR="003E3971" w:rsidRPr="003E3971" w:rsidRDefault="003E3971" w:rsidP="003E3971">
      <w:pPr>
        <w:spacing w:line="480" w:lineRule="auto"/>
        <w:rPr>
          <w:rFonts w:asciiTheme="majorBidi" w:hAnsiTheme="majorBidi" w:cstheme="majorBidi"/>
          <w:b/>
          <w:bCs/>
          <w:sz w:val="28"/>
          <w:szCs w:val="28"/>
        </w:rPr>
      </w:pPr>
      <w:r w:rsidRPr="003E3971">
        <w:rPr>
          <w:rFonts w:asciiTheme="majorBidi" w:hAnsiTheme="majorBidi" w:cstheme="majorBidi"/>
          <w:b/>
          <w:bCs/>
          <w:sz w:val="28"/>
          <w:szCs w:val="28"/>
        </w:rPr>
        <w:lastRenderedPageBreak/>
        <w:t>Diagnostic Assessment</w:t>
      </w:r>
    </w:p>
    <w:p w:rsidR="003E3971" w:rsidRPr="003E3971" w:rsidRDefault="003E3971" w:rsidP="003E3971">
      <w:pPr>
        <w:numPr>
          <w:ilvl w:val="0"/>
          <w:numId w:val="4"/>
        </w:numPr>
        <w:spacing w:line="480" w:lineRule="auto"/>
        <w:rPr>
          <w:rFonts w:asciiTheme="majorBidi" w:hAnsiTheme="majorBidi" w:cstheme="majorBidi"/>
        </w:rPr>
      </w:pPr>
      <w:r w:rsidRPr="003E3971">
        <w:rPr>
          <w:rFonts w:asciiTheme="majorBidi" w:hAnsiTheme="majorBidi" w:cstheme="majorBidi"/>
          <w:b/>
          <w:bCs/>
        </w:rPr>
        <w:t>Blood tests:</w:t>
      </w:r>
      <w:r w:rsidRPr="003E3971">
        <w:rPr>
          <w:rFonts w:asciiTheme="majorBidi" w:hAnsiTheme="majorBidi" w:cstheme="majorBidi"/>
        </w:rPr>
        <w:t xml:space="preserve"> Normal CBC, ESR, CRP, LFTs, RFTs, thyroid profile</w:t>
      </w:r>
    </w:p>
    <w:p w:rsidR="003E3971" w:rsidRPr="003E3971" w:rsidRDefault="003E3971" w:rsidP="003E3971">
      <w:pPr>
        <w:numPr>
          <w:ilvl w:val="0"/>
          <w:numId w:val="4"/>
        </w:numPr>
        <w:spacing w:line="480" w:lineRule="auto"/>
        <w:rPr>
          <w:rFonts w:asciiTheme="majorBidi" w:hAnsiTheme="majorBidi" w:cstheme="majorBidi"/>
        </w:rPr>
      </w:pPr>
      <w:r w:rsidRPr="003E3971">
        <w:rPr>
          <w:rFonts w:asciiTheme="majorBidi" w:hAnsiTheme="majorBidi" w:cstheme="majorBidi"/>
          <w:b/>
          <w:bCs/>
        </w:rPr>
        <w:t>Stool tests &amp; celiac serology:</w:t>
      </w:r>
      <w:r w:rsidRPr="003E3971">
        <w:rPr>
          <w:rFonts w:asciiTheme="majorBidi" w:hAnsiTheme="majorBidi" w:cstheme="majorBidi"/>
        </w:rPr>
        <w:t xml:space="preserve"> Negative</w:t>
      </w:r>
    </w:p>
    <w:p w:rsidR="003E3971" w:rsidRPr="003E3971" w:rsidRDefault="003E3971" w:rsidP="003E3971">
      <w:pPr>
        <w:numPr>
          <w:ilvl w:val="0"/>
          <w:numId w:val="4"/>
        </w:numPr>
        <w:spacing w:line="480" w:lineRule="auto"/>
        <w:rPr>
          <w:rFonts w:asciiTheme="majorBidi" w:hAnsiTheme="majorBidi" w:cstheme="majorBidi"/>
        </w:rPr>
      </w:pPr>
      <w:r w:rsidRPr="003E3971">
        <w:rPr>
          <w:rFonts w:asciiTheme="majorBidi" w:hAnsiTheme="majorBidi" w:cstheme="majorBidi"/>
          <w:b/>
          <w:bCs/>
        </w:rPr>
        <w:t>Chest X-ray:</w:t>
      </w:r>
      <w:r w:rsidRPr="003E3971">
        <w:rPr>
          <w:rFonts w:asciiTheme="majorBidi" w:hAnsiTheme="majorBidi" w:cstheme="majorBidi"/>
        </w:rPr>
        <w:t xml:space="preserve"> Clear</w:t>
      </w:r>
    </w:p>
    <w:p w:rsidR="003E3971" w:rsidRPr="003E3971" w:rsidRDefault="003E3971" w:rsidP="003E3971">
      <w:pPr>
        <w:numPr>
          <w:ilvl w:val="0"/>
          <w:numId w:val="4"/>
        </w:numPr>
        <w:spacing w:line="480" w:lineRule="auto"/>
        <w:rPr>
          <w:rFonts w:asciiTheme="majorBidi" w:hAnsiTheme="majorBidi" w:cstheme="majorBidi"/>
        </w:rPr>
      </w:pPr>
      <w:r w:rsidRPr="003E3971">
        <w:rPr>
          <w:rFonts w:asciiTheme="majorBidi" w:hAnsiTheme="majorBidi" w:cstheme="majorBidi"/>
          <w:b/>
          <w:bCs/>
        </w:rPr>
        <w:t>Ultrasound:</w:t>
      </w:r>
      <w:r w:rsidRPr="003E3971">
        <w:rPr>
          <w:rFonts w:asciiTheme="majorBidi" w:hAnsiTheme="majorBidi" w:cstheme="majorBidi"/>
        </w:rPr>
        <w:t xml:space="preserve"> Multiple small hypoechoic granulomas in the liver</w:t>
      </w:r>
    </w:p>
    <w:p w:rsidR="003E3971" w:rsidRPr="003E3971" w:rsidRDefault="003E3971" w:rsidP="003E3971">
      <w:pPr>
        <w:numPr>
          <w:ilvl w:val="0"/>
          <w:numId w:val="4"/>
        </w:numPr>
        <w:spacing w:line="480" w:lineRule="auto"/>
        <w:rPr>
          <w:rFonts w:asciiTheme="majorBidi" w:hAnsiTheme="majorBidi" w:cstheme="majorBidi"/>
        </w:rPr>
      </w:pPr>
      <w:r w:rsidRPr="003E3971">
        <w:rPr>
          <w:rFonts w:asciiTheme="majorBidi" w:hAnsiTheme="majorBidi" w:cstheme="majorBidi"/>
          <w:b/>
          <w:bCs/>
        </w:rPr>
        <w:t>Infectious &amp; autoimmune workup:</w:t>
      </w:r>
      <w:r w:rsidRPr="003E3971">
        <w:rPr>
          <w:rFonts w:asciiTheme="majorBidi" w:hAnsiTheme="majorBidi" w:cstheme="majorBidi"/>
        </w:rPr>
        <w:t xml:space="preserve"> Pending at onset, no supportive findings later</w:t>
      </w:r>
    </w:p>
    <w:p w:rsidR="003E3971" w:rsidRPr="003E3971" w:rsidRDefault="003E3971" w:rsidP="003E3971">
      <w:pPr>
        <w:numPr>
          <w:ilvl w:val="0"/>
          <w:numId w:val="4"/>
        </w:numPr>
        <w:spacing w:line="480" w:lineRule="auto"/>
        <w:rPr>
          <w:rFonts w:asciiTheme="majorBidi" w:hAnsiTheme="majorBidi" w:cstheme="majorBidi"/>
        </w:rPr>
      </w:pPr>
      <w:r w:rsidRPr="003E3971">
        <w:rPr>
          <w:rFonts w:asciiTheme="majorBidi" w:hAnsiTheme="majorBidi" w:cstheme="majorBidi"/>
          <w:b/>
          <w:bCs/>
        </w:rPr>
        <w:t>Differential diagnosis:</w:t>
      </w:r>
      <w:r w:rsidRPr="003E3971">
        <w:rPr>
          <w:rFonts w:asciiTheme="majorBidi" w:hAnsiTheme="majorBidi" w:cstheme="majorBidi"/>
        </w:rPr>
        <w:t xml:space="preserve"> Infectious granulomatous disease (TB, fungal), autoimmune hepatitis, sarcoidosis, drug-induced hypersensitivity</w:t>
      </w:r>
    </w:p>
    <w:p w:rsidR="003E3971" w:rsidRPr="003E3971" w:rsidRDefault="003E3971" w:rsidP="003E3971">
      <w:pPr>
        <w:spacing w:line="480" w:lineRule="auto"/>
        <w:rPr>
          <w:rFonts w:asciiTheme="majorBidi" w:hAnsiTheme="majorBidi" w:cstheme="majorBidi"/>
        </w:rPr>
      </w:pPr>
      <w:r w:rsidRPr="003E3971">
        <w:rPr>
          <w:rFonts w:asciiTheme="majorBidi" w:hAnsiTheme="majorBidi" w:cstheme="majorBidi"/>
        </w:rPr>
        <w:t xml:space="preserve">The strong temporal relationship with </w:t>
      </w:r>
      <w:proofErr w:type="spellStart"/>
      <w:r w:rsidRPr="003E3971">
        <w:rPr>
          <w:rFonts w:asciiTheme="majorBidi" w:hAnsiTheme="majorBidi" w:cstheme="majorBidi"/>
        </w:rPr>
        <w:t>semaglutide</w:t>
      </w:r>
      <w:proofErr w:type="spellEnd"/>
      <w:r w:rsidRPr="003E3971">
        <w:rPr>
          <w:rFonts w:asciiTheme="majorBidi" w:hAnsiTheme="majorBidi" w:cstheme="majorBidi"/>
        </w:rPr>
        <w:t xml:space="preserve"> initiation and spontaneous resolution following discontinuation supported a diagnosis of drug-induced hepatic granulomas.</w:t>
      </w:r>
    </w:p>
    <w:p w:rsidR="003E3971" w:rsidRPr="003E3971" w:rsidRDefault="003E3971" w:rsidP="003E3971">
      <w:pPr>
        <w:spacing w:line="480" w:lineRule="auto"/>
        <w:rPr>
          <w:rFonts w:asciiTheme="majorBidi" w:hAnsiTheme="majorBidi" w:cstheme="majorBidi"/>
          <w:b/>
          <w:bCs/>
          <w:sz w:val="28"/>
          <w:szCs w:val="28"/>
        </w:rPr>
      </w:pPr>
      <w:r w:rsidRPr="003E3971">
        <w:rPr>
          <w:rFonts w:asciiTheme="majorBidi" w:hAnsiTheme="majorBidi" w:cstheme="majorBidi"/>
          <w:b/>
          <w:bCs/>
          <w:sz w:val="28"/>
          <w:szCs w:val="28"/>
        </w:rPr>
        <w:t>Therapeutic Intervention</w:t>
      </w:r>
    </w:p>
    <w:p w:rsidR="003E3971" w:rsidRPr="003E3971" w:rsidRDefault="003E3971" w:rsidP="003E3971">
      <w:pPr>
        <w:numPr>
          <w:ilvl w:val="0"/>
          <w:numId w:val="5"/>
        </w:numPr>
        <w:spacing w:line="480" w:lineRule="auto"/>
        <w:rPr>
          <w:rFonts w:asciiTheme="majorBidi" w:hAnsiTheme="majorBidi" w:cstheme="majorBidi"/>
        </w:rPr>
      </w:pPr>
      <w:r w:rsidRPr="003E3971">
        <w:rPr>
          <w:rFonts w:asciiTheme="majorBidi" w:hAnsiTheme="majorBidi" w:cstheme="majorBidi"/>
        </w:rPr>
        <w:t xml:space="preserve">Immediate discontinuation of </w:t>
      </w:r>
      <w:proofErr w:type="spellStart"/>
      <w:r w:rsidRPr="003E3971">
        <w:rPr>
          <w:rFonts w:asciiTheme="majorBidi" w:hAnsiTheme="majorBidi" w:cstheme="majorBidi"/>
        </w:rPr>
        <w:t>semaglutide</w:t>
      </w:r>
      <w:proofErr w:type="spellEnd"/>
    </w:p>
    <w:p w:rsidR="003E3971" w:rsidRPr="003E3971" w:rsidRDefault="003E3971" w:rsidP="003E3971">
      <w:pPr>
        <w:numPr>
          <w:ilvl w:val="0"/>
          <w:numId w:val="5"/>
        </w:numPr>
        <w:spacing w:line="480" w:lineRule="auto"/>
        <w:rPr>
          <w:rFonts w:asciiTheme="majorBidi" w:hAnsiTheme="majorBidi" w:cstheme="majorBidi"/>
        </w:rPr>
      </w:pPr>
      <w:r w:rsidRPr="003E3971">
        <w:rPr>
          <w:rFonts w:asciiTheme="majorBidi" w:hAnsiTheme="majorBidi" w:cstheme="majorBidi"/>
        </w:rPr>
        <w:t>Supportive treatment: proton pump inhibitor, domperidone, dietary modifications</w:t>
      </w:r>
    </w:p>
    <w:p w:rsidR="003E3971" w:rsidRPr="003E3971" w:rsidRDefault="003E3971" w:rsidP="003E3971">
      <w:pPr>
        <w:numPr>
          <w:ilvl w:val="0"/>
          <w:numId w:val="5"/>
        </w:numPr>
        <w:spacing w:line="480" w:lineRule="auto"/>
        <w:rPr>
          <w:rFonts w:asciiTheme="majorBidi" w:hAnsiTheme="majorBidi" w:cstheme="majorBidi"/>
        </w:rPr>
      </w:pPr>
      <w:r w:rsidRPr="003E3971">
        <w:rPr>
          <w:rFonts w:asciiTheme="majorBidi" w:hAnsiTheme="majorBidi" w:cstheme="majorBidi"/>
        </w:rPr>
        <w:t>Close clinical and radiological follow-up</w:t>
      </w:r>
    </w:p>
    <w:p w:rsidR="003E3971" w:rsidRPr="003E3971" w:rsidRDefault="003E3971" w:rsidP="003E3971">
      <w:pPr>
        <w:numPr>
          <w:ilvl w:val="0"/>
          <w:numId w:val="5"/>
        </w:numPr>
        <w:spacing w:line="480" w:lineRule="auto"/>
        <w:rPr>
          <w:rFonts w:asciiTheme="majorBidi" w:hAnsiTheme="majorBidi" w:cstheme="majorBidi"/>
        </w:rPr>
      </w:pPr>
      <w:r w:rsidRPr="003E3971">
        <w:rPr>
          <w:rFonts w:asciiTheme="majorBidi" w:hAnsiTheme="majorBidi" w:cstheme="majorBidi"/>
        </w:rPr>
        <w:t>Liver biopsy was planned but ultimately deferred due to resolution of findings</w:t>
      </w:r>
    </w:p>
    <w:p w:rsidR="003E3971" w:rsidRPr="003E3971" w:rsidRDefault="003E3971" w:rsidP="003E3971">
      <w:pPr>
        <w:spacing w:line="480" w:lineRule="auto"/>
        <w:rPr>
          <w:rFonts w:asciiTheme="majorBidi" w:hAnsiTheme="majorBidi" w:cstheme="majorBidi"/>
          <w:b/>
          <w:bCs/>
          <w:sz w:val="28"/>
          <w:szCs w:val="28"/>
        </w:rPr>
      </w:pPr>
      <w:r w:rsidRPr="003E3971">
        <w:rPr>
          <w:rFonts w:asciiTheme="majorBidi" w:hAnsiTheme="majorBidi" w:cstheme="majorBidi"/>
          <w:b/>
          <w:bCs/>
          <w:sz w:val="28"/>
          <w:szCs w:val="28"/>
        </w:rPr>
        <w:t>Follow-Up and Outcomes</w:t>
      </w:r>
    </w:p>
    <w:p w:rsidR="003E3971" w:rsidRPr="003E3971" w:rsidRDefault="003E3971" w:rsidP="003E3971">
      <w:pPr>
        <w:spacing w:line="480" w:lineRule="auto"/>
        <w:rPr>
          <w:rFonts w:asciiTheme="majorBidi" w:hAnsiTheme="majorBidi" w:cstheme="majorBidi"/>
        </w:rPr>
      </w:pPr>
      <w:r w:rsidRPr="003E3971">
        <w:rPr>
          <w:rFonts w:asciiTheme="majorBidi" w:hAnsiTheme="majorBidi" w:cstheme="majorBidi"/>
        </w:rPr>
        <w:t xml:space="preserve">Within 3 weeks of drug discontinuation, the patient’s gastrointestinal symptoms improved significantly. Repeat ultrasound demonstrated resolution of hepatic granulomas. Weight stabilized at 50 kg. She resumed </w:t>
      </w:r>
      <w:r w:rsidR="00173C95">
        <w:rPr>
          <w:rFonts w:asciiTheme="majorBidi" w:hAnsiTheme="majorBidi" w:cstheme="majorBidi"/>
        </w:rPr>
        <w:t xml:space="preserve">her </w:t>
      </w:r>
      <w:r w:rsidRPr="003E3971">
        <w:rPr>
          <w:rFonts w:asciiTheme="majorBidi" w:hAnsiTheme="majorBidi" w:cstheme="majorBidi"/>
        </w:rPr>
        <w:t>normal diet and daily activities.</w:t>
      </w:r>
    </w:p>
    <w:p w:rsidR="003E3971" w:rsidRPr="003E3971" w:rsidRDefault="00720F07" w:rsidP="003E3971">
      <w:pPr>
        <w:spacing w:line="480" w:lineRule="auto"/>
        <w:rPr>
          <w:rFonts w:asciiTheme="majorBidi" w:hAnsiTheme="majorBidi" w:cstheme="majorBidi"/>
        </w:rPr>
      </w:pPr>
      <w:r>
        <w:rPr>
          <w:rFonts w:asciiTheme="majorBidi" w:hAnsiTheme="majorBidi" w:cstheme="majorBidi"/>
          <w:noProof/>
        </w:rPr>
        <w:pict>
          <v:rect id="_x0000_i1031" alt="" style="width:451.3pt;height:.05pt;mso-width-percent:0;mso-height-percent:0;mso-width-percent:0;mso-height-percent:0" o:hralign="center" o:hrstd="t" o:hr="t" fillcolor="#a0a0a0" stroked="f"/>
        </w:pict>
      </w:r>
    </w:p>
    <w:p w:rsidR="003E3971" w:rsidRPr="003E3971" w:rsidRDefault="003E3971" w:rsidP="003E3971">
      <w:pPr>
        <w:spacing w:line="480" w:lineRule="auto"/>
        <w:rPr>
          <w:rFonts w:asciiTheme="majorBidi" w:hAnsiTheme="majorBidi" w:cstheme="majorBidi"/>
          <w:b/>
          <w:bCs/>
          <w:sz w:val="28"/>
          <w:szCs w:val="28"/>
        </w:rPr>
      </w:pPr>
      <w:r w:rsidRPr="003E3971">
        <w:rPr>
          <w:rFonts w:asciiTheme="majorBidi" w:hAnsiTheme="majorBidi" w:cstheme="majorBidi"/>
          <w:b/>
          <w:bCs/>
          <w:sz w:val="28"/>
          <w:szCs w:val="28"/>
        </w:rPr>
        <w:t>Discussion</w:t>
      </w:r>
      <w:r w:rsidR="00173C95" w:rsidRPr="00173C95">
        <w:rPr>
          <w:rFonts w:asciiTheme="majorBidi" w:hAnsiTheme="majorBidi" w:cstheme="majorBidi"/>
          <w:b/>
          <w:bCs/>
          <w:sz w:val="28"/>
          <w:szCs w:val="28"/>
        </w:rPr>
        <w:t>:</w:t>
      </w:r>
    </w:p>
    <w:p w:rsidR="003E3971" w:rsidRPr="003E3971" w:rsidRDefault="003E3971" w:rsidP="003E3971">
      <w:pPr>
        <w:spacing w:line="480" w:lineRule="auto"/>
        <w:rPr>
          <w:rFonts w:asciiTheme="majorBidi" w:hAnsiTheme="majorBidi" w:cstheme="majorBidi"/>
        </w:rPr>
      </w:pPr>
      <w:r w:rsidRPr="003E3971">
        <w:rPr>
          <w:rFonts w:asciiTheme="majorBidi" w:hAnsiTheme="majorBidi" w:cstheme="majorBidi"/>
        </w:rPr>
        <w:t>GLP-1 receptor agonists are frequently associated with gastrointestinal adverse events, most often during dose escalation. Severe intolerance at the lowest dose (0.25 mg) is unusual.</w:t>
      </w:r>
    </w:p>
    <w:p w:rsidR="003E3971" w:rsidRPr="003E3971" w:rsidRDefault="003E3971" w:rsidP="003E3971">
      <w:pPr>
        <w:spacing w:line="480" w:lineRule="auto"/>
        <w:rPr>
          <w:rFonts w:asciiTheme="majorBidi" w:hAnsiTheme="majorBidi" w:cstheme="majorBidi"/>
        </w:rPr>
      </w:pPr>
      <w:r w:rsidRPr="003E3971">
        <w:rPr>
          <w:rFonts w:asciiTheme="majorBidi" w:hAnsiTheme="majorBidi" w:cstheme="majorBidi"/>
        </w:rPr>
        <w:t>The hallmark features of this case were:</w:t>
      </w:r>
    </w:p>
    <w:p w:rsidR="003E3971" w:rsidRPr="003E3971" w:rsidRDefault="003E3971" w:rsidP="003E3971">
      <w:pPr>
        <w:numPr>
          <w:ilvl w:val="0"/>
          <w:numId w:val="6"/>
        </w:numPr>
        <w:spacing w:line="480" w:lineRule="auto"/>
        <w:rPr>
          <w:rFonts w:asciiTheme="majorBidi" w:hAnsiTheme="majorBidi" w:cstheme="majorBidi"/>
        </w:rPr>
      </w:pPr>
      <w:r w:rsidRPr="003E3971">
        <w:rPr>
          <w:rFonts w:asciiTheme="majorBidi" w:hAnsiTheme="majorBidi" w:cstheme="majorBidi"/>
          <w:b/>
          <w:bCs/>
        </w:rPr>
        <w:lastRenderedPageBreak/>
        <w:t>Marked intolerance despite low-dose therapy</w:t>
      </w:r>
    </w:p>
    <w:p w:rsidR="003E3971" w:rsidRPr="003E3971" w:rsidRDefault="003E3971" w:rsidP="003E3971">
      <w:pPr>
        <w:numPr>
          <w:ilvl w:val="0"/>
          <w:numId w:val="6"/>
        </w:numPr>
        <w:spacing w:line="480" w:lineRule="auto"/>
        <w:rPr>
          <w:rFonts w:asciiTheme="majorBidi" w:hAnsiTheme="majorBidi" w:cstheme="majorBidi"/>
        </w:rPr>
      </w:pPr>
      <w:r w:rsidRPr="003E3971">
        <w:rPr>
          <w:rFonts w:asciiTheme="majorBidi" w:hAnsiTheme="majorBidi" w:cstheme="majorBidi"/>
          <w:b/>
          <w:bCs/>
        </w:rPr>
        <w:t>Rapid</w:t>
      </w:r>
      <w:r w:rsidR="00173C95">
        <w:rPr>
          <w:rFonts w:asciiTheme="majorBidi" w:hAnsiTheme="majorBidi" w:cstheme="majorBidi"/>
          <w:b/>
          <w:bCs/>
        </w:rPr>
        <w:t xml:space="preserve"> </w:t>
      </w:r>
      <w:r w:rsidRPr="003E3971">
        <w:rPr>
          <w:rFonts w:asciiTheme="majorBidi" w:hAnsiTheme="majorBidi" w:cstheme="majorBidi"/>
          <w:b/>
          <w:bCs/>
        </w:rPr>
        <w:t>weight loss in a normal-BMI individual</w:t>
      </w:r>
    </w:p>
    <w:p w:rsidR="003E3971" w:rsidRPr="003E3971" w:rsidRDefault="003E3971" w:rsidP="003E3971">
      <w:pPr>
        <w:numPr>
          <w:ilvl w:val="0"/>
          <w:numId w:val="6"/>
        </w:numPr>
        <w:spacing w:line="480" w:lineRule="auto"/>
        <w:rPr>
          <w:rFonts w:asciiTheme="majorBidi" w:hAnsiTheme="majorBidi" w:cstheme="majorBidi"/>
        </w:rPr>
      </w:pPr>
      <w:r w:rsidRPr="003E3971">
        <w:rPr>
          <w:rFonts w:asciiTheme="majorBidi" w:hAnsiTheme="majorBidi" w:cstheme="majorBidi"/>
          <w:b/>
          <w:bCs/>
        </w:rPr>
        <w:t>Diarrhea and esophageal symptoms suggesting severe dysmotility</w:t>
      </w:r>
    </w:p>
    <w:p w:rsidR="003E3971" w:rsidRPr="003E3971" w:rsidRDefault="003E3971" w:rsidP="003E3971">
      <w:pPr>
        <w:numPr>
          <w:ilvl w:val="0"/>
          <w:numId w:val="6"/>
        </w:numPr>
        <w:spacing w:line="480" w:lineRule="auto"/>
        <w:rPr>
          <w:rFonts w:asciiTheme="majorBidi" w:hAnsiTheme="majorBidi" w:cstheme="majorBidi"/>
        </w:rPr>
      </w:pPr>
      <w:r w:rsidRPr="003E3971">
        <w:rPr>
          <w:rFonts w:asciiTheme="majorBidi" w:hAnsiTheme="majorBidi" w:cstheme="majorBidi"/>
          <w:b/>
          <w:bCs/>
        </w:rPr>
        <w:t>Ultrasound-detected hepatic granulomas</w:t>
      </w:r>
      <w:r w:rsidRPr="003E3971">
        <w:rPr>
          <w:rFonts w:asciiTheme="majorBidi" w:hAnsiTheme="majorBidi" w:cstheme="majorBidi"/>
        </w:rPr>
        <w:t xml:space="preserve"> that resolved </w:t>
      </w:r>
      <w:r w:rsidR="00173C95">
        <w:rPr>
          <w:rFonts w:asciiTheme="majorBidi" w:hAnsiTheme="majorBidi" w:cstheme="majorBidi"/>
        </w:rPr>
        <w:t>after</w:t>
      </w:r>
      <w:r w:rsidRPr="003E3971">
        <w:rPr>
          <w:rFonts w:asciiTheme="majorBidi" w:hAnsiTheme="majorBidi" w:cstheme="majorBidi"/>
        </w:rPr>
        <w:t xml:space="preserve"> drug discontinuation</w:t>
      </w:r>
    </w:p>
    <w:p w:rsidR="003E3971" w:rsidRPr="003E3971" w:rsidRDefault="003E3971" w:rsidP="003E3971">
      <w:pPr>
        <w:spacing w:line="480" w:lineRule="auto"/>
        <w:rPr>
          <w:rFonts w:asciiTheme="majorBidi" w:hAnsiTheme="majorBidi" w:cstheme="majorBidi"/>
        </w:rPr>
      </w:pPr>
      <w:r w:rsidRPr="003E3971">
        <w:rPr>
          <w:rFonts w:asciiTheme="majorBidi" w:hAnsiTheme="majorBidi" w:cstheme="majorBidi"/>
        </w:rPr>
        <w:t xml:space="preserve">To our knowledge, hepatic granulomas with </w:t>
      </w:r>
      <w:proofErr w:type="spellStart"/>
      <w:r w:rsidRPr="003E3971">
        <w:rPr>
          <w:rFonts w:asciiTheme="majorBidi" w:hAnsiTheme="majorBidi" w:cstheme="majorBidi"/>
        </w:rPr>
        <w:t>semaglutide</w:t>
      </w:r>
      <w:proofErr w:type="spellEnd"/>
      <w:r w:rsidRPr="003E3971">
        <w:rPr>
          <w:rFonts w:asciiTheme="majorBidi" w:hAnsiTheme="majorBidi" w:cstheme="majorBidi"/>
        </w:rPr>
        <w:t xml:space="preserve"> have not been reported in detail, though hepatotoxicity has been described</w:t>
      </w:r>
      <w:r w:rsidR="00173C95" w:rsidRPr="00173C95">
        <w:rPr>
          <w:rFonts w:asciiTheme="majorBidi" w:hAnsiTheme="majorBidi" w:cstheme="majorBidi"/>
          <w:vertAlign w:val="superscript"/>
        </w:rPr>
        <w:t>3, 4</w:t>
      </w:r>
      <w:r w:rsidRPr="003E3971">
        <w:rPr>
          <w:rFonts w:asciiTheme="majorBidi" w:hAnsiTheme="majorBidi" w:cstheme="majorBidi"/>
        </w:rPr>
        <w:t>. Granulomatous liver disease is most often associated with infections, autoimmune disorders, or drug hypersensitivity</w:t>
      </w:r>
      <w:r w:rsidR="00173C95" w:rsidRPr="00173C95">
        <w:rPr>
          <w:rFonts w:asciiTheme="majorBidi" w:hAnsiTheme="majorBidi" w:cstheme="majorBidi"/>
          <w:vertAlign w:val="superscript"/>
        </w:rPr>
        <w:t>5</w:t>
      </w:r>
      <w:r w:rsidRPr="003E3971">
        <w:rPr>
          <w:rFonts w:asciiTheme="majorBidi" w:hAnsiTheme="majorBidi" w:cstheme="majorBidi"/>
        </w:rPr>
        <w:t xml:space="preserve">. The temporal association, exclusion of other causes, and resolution after drug cessation suggest a </w:t>
      </w:r>
      <w:proofErr w:type="spellStart"/>
      <w:r w:rsidRPr="003E3971">
        <w:rPr>
          <w:rFonts w:asciiTheme="majorBidi" w:hAnsiTheme="majorBidi" w:cstheme="majorBidi"/>
        </w:rPr>
        <w:t>semaglutide</w:t>
      </w:r>
      <w:proofErr w:type="spellEnd"/>
      <w:r w:rsidRPr="003E3971">
        <w:rPr>
          <w:rFonts w:asciiTheme="majorBidi" w:hAnsiTheme="majorBidi" w:cstheme="majorBidi"/>
        </w:rPr>
        <w:t xml:space="preserve">-induced </w:t>
      </w:r>
      <w:r w:rsidR="00173C95">
        <w:rPr>
          <w:rFonts w:asciiTheme="majorBidi" w:hAnsiTheme="majorBidi" w:cstheme="majorBidi"/>
        </w:rPr>
        <w:t xml:space="preserve">drug-hypersensitivity </w:t>
      </w:r>
      <w:r w:rsidRPr="003E3971">
        <w:rPr>
          <w:rFonts w:asciiTheme="majorBidi" w:hAnsiTheme="majorBidi" w:cstheme="majorBidi"/>
        </w:rPr>
        <w:t>reaction.</w:t>
      </w:r>
      <w:r w:rsidR="00173C95">
        <w:rPr>
          <w:rFonts w:asciiTheme="majorBidi" w:hAnsiTheme="majorBidi" w:cstheme="majorBidi"/>
        </w:rPr>
        <w:t xml:space="preserve"> However, a transient immune dysregulation is possible.</w:t>
      </w:r>
    </w:p>
    <w:p w:rsidR="003E3971" w:rsidRPr="003E3971" w:rsidRDefault="003E3971" w:rsidP="003E3971">
      <w:pPr>
        <w:spacing w:line="480" w:lineRule="auto"/>
        <w:rPr>
          <w:rFonts w:asciiTheme="majorBidi" w:hAnsiTheme="majorBidi" w:cstheme="majorBidi"/>
        </w:rPr>
      </w:pPr>
      <w:r w:rsidRPr="003E3971">
        <w:rPr>
          <w:rFonts w:asciiTheme="majorBidi" w:hAnsiTheme="majorBidi" w:cstheme="majorBidi"/>
        </w:rPr>
        <w:t xml:space="preserve">This case highlights the importance of considering drug-induced hepatic granulomas in patients presenting with unexplained hepatic abnormalities while on </w:t>
      </w:r>
      <w:proofErr w:type="spellStart"/>
      <w:r w:rsidRPr="003E3971">
        <w:rPr>
          <w:rFonts w:asciiTheme="majorBidi" w:hAnsiTheme="majorBidi" w:cstheme="majorBidi"/>
        </w:rPr>
        <w:t>semaglutide</w:t>
      </w:r>
      <w:proofErr w:type="spellEnd"/>
      <w:r w:rsidRPr="003E3971">
        <w:rPr>
          <w:rFonts w:asciiTheme="majorBidi" w:hAnsiTheme="majorBidi" w:cstheme="majorBidi"/>
        </w:rPr>
        <w:t xml:space="preserve">. Clinicians should also exercise caution in prescribing </w:t>
      </w:r>
      <w:proofErr w:type="spellStart"/>
      <w:r w:rsidRPr="003E3971">
        <w:rPr>
          <w:rFonts w:asciiTheme="majorBidi" w:hAnsiTheme="majorBidi" w:cstheme="majorBidi"/>
        </w:rPr>
        <w:t>semaglutide</w:t>
      </w:r>
      <w:proofErr w:type="spellEnd"/>
      <w:r w:rsidRPr="003E3971">
        <w:rPr>
          <w:rFonts w:asciiTheme="majorBidi" w:hAnsiTheme="majorBidi" w:cstheme="majorBidi"/>
        </w:rPr>
        <w:t xml:space="preserve"> to individuals with low baseline BMI, where even modest weight loss may result in underweight status.</w:t>
      </w:r>
    </w:p>
    <w:p w:rsidR="003E3971" w:rsidRPr="003E3971" w:rsidRDefault="00720F07" w:rsidP="003E3971">
      <w:pPr>
        <w:spacing w:line="480" w:lineRule="auto"/>
        <w:rPr>
          <w:rFonts w:asciiTheme="majorBidi" w:hAnsiTheme="majorBidi" w:cstheme="majorBidi"/>
        </w:rPr>
      </w:pPr>
      <w:r>
        <w:rPr>
          <w:rFonts w:asciiTheme="majorBidi" w:hAnsiTheme="majorBidi" w:cstheme="majorBidi"/>
          <w:noProof/>
        </w:rPr>
        <w:pict>
          <v:rect id="_x0000_i1030" alt="" style="width:451.3pt;height:.05pt;mso-width-percent:0;mso-height-percent:0;mso-width-percent:0;mso-height-percent:0" o:hralign="center" o:hrstd="t" o:hr="t" fillcolor="#a0a0a0" stroked="f"/>
        </w:pict>
      </w:r>
    </w:p>
    <w:p w:rsidR="003E3971" w:rsidRPr="003E3971" w:rsidRDefault="003E3971" w:rsidP="003E3971">
      <w:pPr>
        <w:spacing w:line="480" w:lineRule="auto"/>
        <w:rPr>
          <w:rFonts w:asciiTheme="majorBidi" w:hAnsiTheme="majorBidi" w:cstheme="majorBidi"/>
          <w:b/>
          <w:bCs/>
        </w:rPr>
      </w:pPr>
      <w:r w:rsidRPr="009F2461">
        <w:rPr>
          <w:rFonts w:asciiTheme="majorBidi" w:hAnsiTheme="majorBidi" w:cstheme="majorBidi"/>
          <w:b/>
          <w:bCs/>
          <w:sz w:val="28"/>
          <w:szCs w:val="28"/>
        </w:rPr>
        <w:t>Conclusion</w:t>
      </w:r>
      <w:r w:rsidR="009F2461">
        <w:rPr>
          <w:rFonts w:asciiTheme="majorBidi" w:hAnsiTheme="majorBidi" w:cstheme="majorBidi"/>
          <w:b/>
          <w:bCs/>
          <w:sz w:val="28"/>
          <w:szCs w:val="28"/>
        </w:rPr>
        <w:t>:</w:t>
      </w:r>
    </w:p>
    <w:p w:rsidR="003E3971" w:rsidRPr="003E3971" w:rsidRDefault="003E3971" w:rsidP="003E3971">
      <w:pPr>
        <w:spacing w:line="480" w:lineRule="auto"/>
        <w:rPr>
          <w:rFonts w:asciiTheme="majorBidi" w:hAnsiTheme="majorBidi" w:cstheme="majorBidi"/>
        </w:rPr>
      </w:pPr>
      <w:r w:rsidRPr="003E3971">
        <w:rPr>
          <w:rFonts w:asciiTheme="majorBidi" w:hAnsiTheme="majorBidi" w:cstheme="majorBidi"/>
        </w:rPr>
        <w:t xml:space="preserve">This case underscores a rare but clinically significant adverse effect of low-dose </w:t>
      </w:r>
      <w:proofErr w:type="spellStart"/>
      <w:r w:rsidRPr="003E3971">
        <w:rPr>
          <w:rFonts w:asciiTheme="majorBidi" w:hAnsiTheme="majorBidi" w:cstheme="majorBidi"/>
        </w:rPr>
        <w:t>semaglutide</w:t>
      </w:r>
      <w:proofErr w:type="spellEnd"/>
      <w:r w:rsidRPr="003E3971">
        <w:rPr>
          <w:rFonts w:asciiTheme="majorBidi" w:hAnsiTheme="majorBidi" w:cstheme="majorBidi"/>
        </w:rPr>
        <w:t xml:space="preserve">: severe gastrointestinal intolerance and hepatic granulomas. Clinicians should maintain vigilance for atypical presentations, particularly in patients with low BMI. Early recognition and discontinuation of </w:t>
      </w:r>
      <w:proofErr w:type="spellStart"/>
      <w:r w:rsidRPr="003E3971">
        <w:rPr>
          <w:rFonts w:asciiTheme="majorBidi" w:hAnsiTheme="majorBidi" w:cstheme="majorBidi"/>
        </w:rPr>
        <w:t>semaglutide</w:t>
      </w:r>
      <w:proofErr w:type="spellEnd"/>
      <w:r w:rsidRPr="003E3971">
        <w:rPr>
          <w:rFonts w:asciiTheme="majorBidi" w:hAnsiTheme="majorBidi" w:cstheme="majorBidi"/>
        </w:rPr>
        <w:t xml:space="preserve"> can lead to complete recovery and may prevent unnecessary invasive procedures.</w:t>
      </w:r>
    </w:p>
    <w:p w:rsidR="003E3971" w:rsidRPr="003E3971" w:rsidRDefault="00720F07" w:rsidP="003E3971">
      <w:pPr>
        <w:spacing w:line="480" w:lineRule="auto"/>
        <w:rPr>
          <w:rFonts w:asciiTheme="majorBidi" w:hAnsiTheme="majorBidi" w:cstheme="majorBidi"/>
        </w:rPr>
      </w:pPr>
      <w:r>
        <w:rPr>
          <w:rFonts w:asciiTheme="majorBidi" w:hAnsiTheme="majorBidi" w:cstheme="majorBidi"/>
          <w:noProof/>
        </w:rPr>
        <w:pict>
          <v:rect id="_x0000_i1029" alt="" style="width:451.3pt;height:.05pt;mso-width-percent:0;mso-height-percent:0;mso-width-percent:0;mso-height-percent:0" o:hralign="center" o:hrstd="t" o:hr="t" fillcolor="#a0a0a0" stroked="f"/>
        </w:pict>
      </w:r>
    </w:p>
    <w:p w:rsidR="003E3971" w:rsidRPr="003E3971" w:rsidRDefault="003E3971" w:rsidP="003E3971">
      <w:pPr>
        <w:spacing w:line="480" w:lineRule="auto"/>
        <w:rPr>
          <w:rFonts w:asciiTheme="majorBidi" w:hAnsiTheme="majorBidi" w:cstheme="majorBidi"/>
          <w:b/>
          <w:bCs/>
        </w:rPr>
      </w:pPr>
      <w:r w:rsidRPr="003E3971">
        <w:rPr>
          <w:rFonts w:asciiTheme="majorBidi" w:hAnsiTheme="majorBidi" w:cstheme="majorBidi"/>
          <w:b/>
          <w:bCs/>
        </w:rPr>
        <w:t xml:space="preserve">Patient </w:t>
      </w:r>
      <w:r w:rsidRPr="009F2461">
        <w:rPr>
          <w:rFonts w:asciiTheme="majorBidi" w:hAnsiTheme="majorBidi" w:cstheme="majorBidi"/>
          <w:b/>
          <w:bCs/>
          <w:sz w:val="28"/>
          <w:szCs w:val="28"/>
        </w:rPr>
        <w:t>Perspective</w:t>
      </w:r>
    </w:p>
    <w:p w:rsidR="003E3971" w:rsidRPr="003E3971" w:rsidRDefault="003E3971" w:rsidP="003E3971">
      <w:pPr>
        <w:spacing w:line="480" w:lineRule="auto"/>
        <w:rPr>
          <w:rFonts w:asciiTheme="majorBidi" w:hAnsiTheme="majorBidi" w:cstheme="majorBidi"/>
        </w:rPr>
      </w:pPr>
      <w:r w:rsidRPr="003E3971">
        <w:rPr>
          <w:rFonts w:asciiTheme="majorBidi" w:hAnsiTheme="majorBidi" w:cstheme="majorBidi"/>
        </w:rPr>
        <w:lastRenderedPageBreak/>
        <w:t xml:space="preserve">The patient expressed distress at the severity of her gastrointestinal symptoms and the rapid weight loss. Although initially motivated by the weight reduction benefits of </w:t>
      </w:r>
      <w:proofErr w:type="spellStart"/>
      <w:r w:rsidRPr="003E3971">
        <w:rPr>
          <w:rFonts w:asciiTheme="majorBidi" w:hAnsiTheme="majorBidi" w:cstheme="majorBidi"/>
        </w:rPr>
        <w:t>semaglutide</w:t>
      </w:r>
      <w:proofErr w:type="spellEnd"/>
      <w:r w:rsidRPr="003E3971">
        <w:rPr>
          <w:rFonts w:asciiTheme="majorBidi" w:hAnsiTheme="majorBidi" w:cstheme="majorBidi"/>
        </w:rPr>
        <w:t>, she now prefers lifestyle-based strategies for weight management and is cautious about future pharmacologic interventions.</w:t>
      </w:r>
    </w:p>
    <w:p w:rsidR="003E3971" w:rsidRPr="003E3971" w:rsidRDefault="00720F07" w:rsidP="003E3971">
      <w:pPr>
        <w:spacing w:line="480" w:lineRule="auto"/>
        <w:rPr>
          <w:rFonts w:asciiTheme="majorBidi" w:hAnsiTheme="majorBidi" w:cstheme="majorBidi"/>
        </w:rPr>
      </w:pPr>
      <w:r>
        <w:rPr>
          <w:rFonts w:asciiTheme="majorBidi" w:hAnsiTheme="majorBidi" w:cstheme="majorBidi"/>
          <w:noProof/>
        </w:rPr>
        <w:pict>
          <v:rect id="_x0000_i1028" alt="" style="width:451.3pt;height:.05pt;mso-width-percent:0;mso-height-percent:0;mso-width-percent:0;mso-height-percent:0" o:hralign="center" o:hrstd="t" o:hr="t" fillcolor="#a0a0a0" stroked="f"/>
        </w:pict>
      </w:r>
    </w:p>
    <w:p w:rsidR="003E3971" w:rsidRPr="003E3971" w:rsidRDefault="003E3971" w:rsidP="003E3971">
      <w:pPr>
        <w:spacing w:line="480" w:lineRule="auto"/>
        <w:rPr>
          <w:rFonts w:asciiTheme="majorBidi" w:hAnsiTheme="majorBidi" w:cstheme="majorBidi"/>
          <w:b/>
          <w:bCs/>
        </w:rPr>
      </w:pPr>
      <w:r w:rsidRPr="003E3971">
        <w:rPr>
          <w:rFonts w:asciiTheme="majorBidi" w:hAnsiTheme="majorBidi" w:cstheme="majorBidi"/>
          <w:b/>
          <w:bCs/>
        </w:rPr>
        <w:t>Consent</w:t>
      </w:r>
    </w:p>
    <w:p w:rsidR="003E3971" w:rsidRPr="003E3971" w:rsidRDefault="003E3971" w:rsidP="003E3971">
      <w:pPr>
        <w:spacing w:line="480" w:lineRule="auto"/>
        <w:rPr>
          <w:rFonts w:asciiTheme="majorBidi" w:hAnsiTheme="majorBidi" w:cstheme="majorBidi"/>
        </w:rPr>
      </w:pPr>
      <w:r w:rsidRPr="003E3971">
        <w:rPr>
          <w:rFonts w:asciiTheme="majorBidi" w:hAnsiTheme="majorBidi" w:cstheme="majorBidi"/>
        </w:rPr>
        <w:t>Written informed consent was obtained from the patient for publication of this case report</w:t>
      </w:r>
      <w:r w:rsidR="00173C95">
        <w:rPr>
          <w:rFonts w:asciiTheme="majorBidi" w:hAnsiTheme="majorBidi" w:cstheme="majorBidi"/>
        </w:rPr>
        <w:t>.</w:t>
      </w:r>
    </w:p>
    <w:p w:rsidR="003E3971" w:rsidRPr="003E3971" w:rsidRDefault="00720F07" w:rsidP="003E3971">
      <w:pPr>
        <w:spacing w:line="480" w:lineRule="auto"/>
        <w:rPr>
          <w:rFonts w:asciiTheme="majorBidi" w:hAnsiTheme="majorBidi" w:cstheme="majorBidi"/>
        </w:rPr>
      </w:pPr>
      <w:r>
        <w:rPr>
          <w:rFonts w:asciiTheme="majorBidi" w:hAnsiTheme="majorBidi" w:cstheme="majorBidi"/>
          <w:noProof/>
        </w:rPr>
        <w:pict>
          <v:rect id="_x0000_i1027" alt="" style="width:451.3pt;height:.05pt;mso-width-percent:0;mso-height-percent:0;mso-width-percent:0;mso-height-percent:0" o:hralign="center" o:hrstd="t" o:hr="t" fillcolor="#a0a0a0" stroked="f"/>
        </w:pict>
      </w:r>
    </w:p>
    <w:p w:rsidR="003E3971" w:rsidRPr="003E3971" w:rsidRDefault="003E3971" w:rsidP="003E3971">
      <w:pPr>
        <w:spacing w:line="480" w:lineRule="auto"/>
        <w:rPr>
          <w:rFonts w:asciiTheme="majorBidi" w:hAnsiTheme="majorBidi" w:cstheme="majorBidi"/>
          <w:b/>
          <w:bCs/>
        </w:rPr>
      </w:pPr>
      <w:r w:rsidRPr="003E3971">
        <w:rPr>
          <w:rFonts w:asciiTheme="majorBidi" w:hAnsiTheme="majorBidi" w:cstheme="majorBidi"/>
          <w:b/>
          <w:bCs/>
        </w:rPr>
        <w:t>Conflicts of Interest</w:t>
      </w:r>
    </w:p>
    <w:p w:rsidR="003E3971" w:rsidRPr="003E3971" w:rsidRDefault="003E3971" w:rsidP="003E3971">
      <w:pPr>
        <w:spacing w:line="480" w:lineRule="auto"/>
        <w:rPr>
          <w:rFonts w:asciiTheme="majorBidi" w:hAnsiTheme="majorBidi" w:cstheme="majorBidi"/>
        </w:rPr>
      </w:pPr>
      <w:r w:rsidRPr="003E3971">
        <w:rPr>
          <w:rFonts w:asciiTheme="majorBidi" w:hAnsiTheme="majorBidi" w:cstheme="majorBidi"/>
        </w:rPr>
        <w:t>The authors declare no conflicts of interest.</w:t>
      </w:r>
    </w:p>
    <w:p w:rsidR="003E3971" w:rsidRPr="003E3971" w:rsidRDefault="00720F07" w:rsidP="003E3971">
      <w:pPr>
        <w:spacing w:line="480" w:lineRule="auto"/>
        <w:rPr>
          <w:rFonts w:asciiTheme="majorBidi" w:hAnsiTheme="majorBidi" w:cstheme="majorBidi"/>
        </w:rPr>
      </w:pPr>
      <w:r>
        <w:rPr>
          <w:rFonts w:asciiTheme="majorBidi" w:hAnsiTheme="majorBidi" w:cstheme="majorBidi"/>
          <w:noProof/>
        </w:rPr>
        <w:pict>
          <v:rect id="_x0000_i1026" alt="" style="width:451.3pt;height:.05pt;mso-width-percent:0;mso-height-percent:0;mso-width-percent:0;mso-height-percent:0" o:hralign="center" o:hrstd="t" o:hr="t" fillcolor="#a0a0a0" stroked="f"/>
        </w:pict>
      </w:r>
    </w:p>
    <w:p w:rsidR="003E3971" w:rsidRPr="003E3971" w:rsidRDefault="003E3971" w:rsidP="003E3971">
      <w:pPr>
        <w:spacing w:line="480" w:lineRule="auto"/>
        <w:rPr>
          <w:rFonts w:asciiTheme="majorBidi" w:hAnsiTheme="majorBidi" w:cstheme="majorBidi"/>
          <w:b/>
          <w:bCs/>
        </w:rPr>
      </w:pPr>
      <w:r w:rsidRPr="003E3971">
        <w:rPr>
          <w:rFonts w:asciiTheme="majorBidi" w:hAnsiTheme="majorBidi" w:cstheme="majorBidi"/>
          <w:b/>
          <w:bCs/>
        </w:rPr>
        <w:t>Funding</w:t>
      </w:r>
    </w:p>
    <w:p w:rsidR="003E3971" w:rsidRPr="003E3971" w:rsidRDefault="003E3971" w:rsidP="003E3971">
      <w:pPr>
        <w:spacing w:line="480" w:lineRule="auto"/>
        <w:rPr>
          <w:rFonts w:asciiTheme="majorBidi" w:hAnsiTheme="majorBidi" w:cstheme="majorBidi"/>
        </w:rPr>
      </w:pPr>
      <w:r w:rsidRPr="003E3971">
        <w:rPr>
          <w:rFonts w:asciiTheme="majorBidi" w:hAnsiTheme="majorBidi" w:cstheme="majorBidi"/>
        </w:rPr>
        <w:t>No funding was received for this study.</w:t>
      </w:r>
    </w:p>
    <w:p w:rsidR="003E3971" w:rsidRPr="003E3971" w:rsidRDefault="00720F07" w:rsidP="003E3971">
      <w:pPr>
        <w:spacing w:line="480" w:lineRule="auto"/>
        <w:rPr>
          <w:rFonts w:asciiTheme="majorBidi" w:hAnsiTheme="majorBidi" w:cstheme="majorBidi"/>
        </w:rPr>
      </w:pPr>
      <w:r>
        <w:rPr>
          <w:rFonts w:asciiTheme="majorBidi" w:hAnsiTheme="majorBidi" w:cstheme="majorBidi"/>
          <w:noProof/>
        </w:rPr>
        <w:pict>
          <v:rect id="_x0000_i1025" alt="" style="width:451.3pt;height:.05pt;mso-width-percent:0;mso-height-percent:0;mso-width-percent:0;mso-height-percent:0" o:hralign="center" o:hrstd="t" o:hr="t" fillcolor="#a0a0a0" stroked="f"/>
        </w:pict>
      </w:r>
    </w:p>
    <w:p w:rsidR="003E3971" w:rsidRPr="003E3971" w:rsidRDefault="003E3971" w:rsidP="003E3971">
      <w:pPr>
        <w:spacing w:line="480" w:lineRule="auto"/>
        <w:rPr>
          <w:rFonts w:asciiTheme="majorBidi" w:hAnsiTheme="majorBidi" w:cstheme="majorBidi"/>
          <w:b/>
          <w:bCs/>
        </w:rPr>
      </w:pPr>
      <w:r w:rsidRPr="003E3971">
        <w:rPr>
          <w:rFonts w:asciiTheme="majorBidi" w:hAnsiTheme="majorBidi" w:cstheme="majorBidi"/>
          <w:b/>
          <w:bCs/>
        </w:rPr>
        <w:t>References</w:t>
      </w:r>
    </w:p>
    <w:p w:rsidR="00E341A6" w:rsidRPr="00E341A6" w:rsidRDefault="0094266B" w:rsidP="0094266B">
      <w:pPr>
        <w:numPr>
          <w:ilvl w:val="0"/>
          <w:numId w:val="7"/>
        </w:numPr>
        <w:spacing w:line="480" w:lineRule="auto"/>
        <w:rPr>
          <w:rFonts w:asciiTheme="majorBidi" w:hAnsiTheme="majorBidi" w:cstheme="majorBidi"/>
        </w:rPr>
      </w:pPr>
      <w:r w:rsidRPr="0094266B">
        <w:rPr>
          <w:rFonts w:asciiTheme="majorBidi" w:hAnsiTheme="majorBidi" w:cstheme="majorBidi"/>
        </w:rPr>
        <w:t xml:space="preserve">Kalsi H, </w:t>
      </w:r>
      <w:proofErr w:type="spellStart"/>
      <w:r w:rsidRPr="0094266B">
        <w:rPr>
          <w:rFonts w:asciiTheme="majorBidi" w:hAnsiTheme="majorBidi" w:cstheme="majorBidi"/>
        </w:rPr>
        <w:t>Essilfie</w:t>
      </w:r>
      <w:proofErr w:type="spellEnd"/>
      <w:r w:rsidRPr="0094266B">
        <w:rPr>
          <w:rFonts w:asciiTheme="majorBidi" w:hAnsiTheme="majorBidi" w:cstheme="majorBidi"/>
        </w:rPr>
        <w:t xml:space="preserve">-Quaye K, Bassi R, </w:t>
      </w:r>
      <w:proofErr w:type="spellStart"/>
      <w:r w:rsidRPr="0094266B">
        <w:rPr>
          <w:rFonts w:asciiTheme="majorBidi" w:hAnsiTheme="majorBidi" w:cstheme="majorBidi"/>
        </w:rPr>
        <w:t>Abuassi</w:t>
      </w:r>
      <w:proofErr w:type="spellEnd"/>
      <w:r w:rsidRPr="0094266B">
        <w:rPr>
          <w:rFonts w:asciiTheme="majorBidi" w:hAnsiTheme="majorBidi" w:cstheme="majorBidi"/>
        </w:rPr>
        <w:t xml:space="preserve"> M, </w:t>
      </w:r>
      <w:proofErr w:type="spellStart"/>
      <w:r w:rsidRPr="0094266B">
        <w:rPr>
          <w:rFonts w:asciiTheme="majorBidi" w:hAnsiTheme="majorBidi" w:cstheme="majorBidi"/>
        </w:rPr>
        <w:t>Perbtani</w:t>
      </w:r>
      <w:proofErr w:type="spellEnd"/>
      <w:r w:rsidRPr="0094266B">
        <w:rPr>
          <w:rFonts w:asciiTheme="majorBidi" w:hAnsiTheme="majorBidi" w:cstheme="majorBidi"/>
        </w:rPr>
        <w:t xml:space="preserve"> Y, Brar TS. S4655 </w:t>
      </w:r>
      <w:proofErr w:type="spellStart"/>
      <w:r w:rsidRPr="0094266B">
        <w:rPr>
          <w:rFonts w:asciiTheme="majorBidi" w:hAnsiTheme="majorBidi" w:cstheme="majorBidi"/>
        </w:rPr>
        <w:t>Semaglutide</w:t>
      </w:r>
      <w:proofErr w:type="spellEnd"/>
      <w:r w:rsidRPr="0094266B">
        <w:rPr>
          <w:rFonts w:asciiTheme="majorBidi" w:hAnsiTheme="majorBidi" w:cstheme="majorBidi"/>
        </w:rPr>
        <w:t xml:space="preserve"> Shadows: A Rare Glimpse Into GLP-1-Associated Liver Injury. Official journal of the American College of Gastroenterology| ACG. 2024 Oct 1;119(10S):S2947-8.</w:t>
      </w:r>
    </w:p>
    <w:p w:rsidR="00E341A6" w:rsidRPr="00173C95" w:rsidRDefault="00E341A6" w:rsidP="00E341A6">
      <w:pPr>
        <w:numPr>
          <w:ilvl w:val="0"/>
          <w:numId w:val="7"/>
        </w:numPr>
        <w:shd w:val="clear" w:color="auto" w:fill="FFFFFF"/>
        <w:spacing w:line="480" w:lineRule="auto"/>
        <w:outlineLvl w:val="3"/>
        <w:rPr>
          <w:rFonts w:asciiTheme="majorBidi" w:eastAsia="Times New Roman" w:hAnsiTheme="majorBidi" w:cstheme="majorBidi"/>
          <w:color w:val="000000" w:themeColor="text1"/>
          <w:kern w:val="0"/>
          <w:lang w:eastAsia="en-GB"/>
          <w14:ligatures w14:val="none"/>
        </w:rPr>
      </w:pPr>
      <w:proofErr w:type="spellStart"/>
      <w:r w:rsidRPr="00E341A6">
        <w:rPr>
          <w:rFonts w:asciiTheme="majorBidi" w:eastAsia="Times New Roman" w:hAnsiTheme="majorBidi" w:cstheme="majorBidi"/>
          <w:color w:val="000000" w:themeColor="text1"/>
          <w:kern w:val="0"/>
          <w:lang w:eastAsia="en-GB"/>
          <w14:ligatures w14:val="none"/>
        </w:rPr>
        <w:t>Ginès</w:t>
      </w:r>
      <w:proofErr w:type="spellEnd"/>
      <w:r w:rsidRPr="00E341A6">
        <w:rPr>
          <w:rFonts w:asciiTheme="majorBidi" w:eastAsia="Times New Roman" w:hAnsiTheme="majorBidi" w:cstheme="majorBidi"/>
          <w:color w:val="000000" w:themeColor="text1"/>
          <w:kern w:val="0"/>
          <w:lang w:eastAsia="en-GB"/>
          <w14:ligatures w14:val="none"/>
        </w:rPr>
        <w:t xml:space="preserve">, </w:t>
      </w:r>
      <w:proofErr w:type="spellStart"/>
      <w:r w:rsidRPr="00E341A6">
        <w:rPr>
          <w:rFonts w:asciiTheme="majorBidi" w:eastAsia="Times New Roman" w:hAnsiTheme="majorBidi" w:cstheme="majorBidi"/>
          <w:color w:val="000000" w:themeColor="text1"/>
          <w:kern w:val="0"/>
          <w:lang w:eastAsia="en-GB"/>
          <w14:ligatures w14:val="none"/>
        </w:rPr>
        <w:t>PereSerra-Burriel</w:t>
      </w:r>
      <w:proofErr w:type="spellEnd"/>
      <w:r w:rsidRPr="00E341A6">
        <w:rPr>
          <w:rFonts w:asciiTheme="majorBidi" w:eastAsia="Times New Roman" w:hAnsiTheme="majorBidi" w:cstheme="majorBidi"/>
          <w:color w:val="000000" w:themeColor="text1"/>
          <w:kern w:val="0"/>
          <w:lang w:eastAsia="en-GB"/>
          <w14:ligatures w14:val="none"/>
        </w:rPr>
        <w:t>, Miquel et al.</w:t>
      </w:r>
      <w:r w:rsidRPr="00173C95">
        <w:rPr>
          <w:rFonts w:asciiTheme="majorBidi" w:eastAsia="Times New Roman" w:hAnsiTheme="majorBidi" w:cstheme="majorBidi"/>
          <w:color w:val="000000" w:themeColor="text1"/>
          <w:kern w:val="0"/>
          <w:lang w:eastAsia="en-GB"/>
          <w14:ligatures w14:val="none"/>
        </w:rPr>
        <w:t xml:space="preserve"> </w:t>
      </w:r>
      <w:r w:rsidRPr="00E341A6">
        <w:rPr>
          <w:rFonts w:asciiTheme="majorBidi" w:eastAsia="Times New Roman" w:hAnsiTheme="majorBidi" w:cstheme="majorBidi"/>
          <w:color w:val="000000" w:themeColor="text1"/>
          <w:kern w:val="0"/>
          <w:lang w:eastAsia="en-GB"/>
          <w14:ligatures w14:val="none"/>
        </w:rPr>
        <w:t xml:space="preserve">Glucagon-Like Peptide-1 Receptor Agonists for Treatment of </w:t>
      </w:r>
      <w:proofErr w:type="spellStart"/>
      <w:r w:rsidRPr="00E341A6">
        <w:rPr>
          <w:rFonts w:asciiTheme="majorBidi" w:eastAsia="Times New Roman" w:hAnsiTheme="majorBidi" w:cstheme="majorBidi"/>
          <w:color w:val="000000" w:themeColor="text1"/>
          <w:kern w:val="0"/>
          <w:lang w:eastAsia="en-GB"/>
          <w14:ligatures w14:val="none"/>
        </w:rPr>
        <w:t>Steatotic</w:t>
      </w:r>
      <w:proofErr w:type="spellEnd"/>
      <w:r w:rsidRPr="00E341A6">
        <w:rPr>
          <w:rFonts w:asciiTheme="majorBidi" w:eastAsia="Times New Roman" w:hAnsiTheme="majorBidi" w:cstheme="majorBidi"/>
          <w:color w:val="000000" w:themeColor="text1"/>
          <w:kern w:val="0"/>
          <w:lang w:eastAsia="en-GB"/>
          <w14:ligatures w14:val="none"/>
        </w:rPr>
        <w:t xml:space="preserve"> Liver Disease in Patients </w:t>
      </w:r>
      <w:proofErr w:type="gramStart"/>
      <w:r w:rsidRPr="00E341A6">
        <w:rPr>
          <w:rFonts w:asciiTheme="majorBidi" w:eastAsia="Times New Roman" w:hAnsiTheme="majorBidi" w:cstheme="majorBidi"/>
          <w:color w:val="000000" w:themeColor="text1"/>
          <w:kern w:val="0"/>
          <w:lang w:eastAsia="en-GB"/>
          <w14:ligatures w14:val="none"/>
        </w:rPr>
        <w:t>With</w:t>
      </w:r>
      <w:proofErr w:type="gramEnd"/>
      <w:r w:rsidRPr="00E341A6">
        <w:rPr>
          <w:rFonts w:asciiTheme="majorBidi" w:eastAsia="Times New Roman" w:hAnsiTheme="majorBidi" w:cstheme="majorBidi"/>
          <w:color w:val="000000" w:themeColor="text1"/>
          <w:kern w:val="0"/>
          <w:lang w:eastAsia="en-GB"/>
          <w14:ligatures w14:val="none"/>
        </w:rPr>
        <w:t xml:space="preserve"> Type 2 Diabetes Mellitus: Growing Evidence But Not Yet There</w:t>
      </w:r>
      <w:r w:rsidRPr="00173C95">
        <w:rPr>
          <w:rFonts w:asciiTheme="majorBidi" w:eastAsia="Times New Roman" w:hAnsiTheme="majorBidi" w:cstheme="majorBidi"/>
          <w:color w:val="000000" w:themeColor="text1"/>
          <w:kern w:val="0"/>
          <w:lang w:eastAsia="en-GB"/>
          <w14:ligatures w14:val="none"/>
        </w:rPr>
        <w:t xml:space="preserve">. </w:t>
      </w:r>
      <w:r w:rsidRPr="00E341A6">
        <w:rPr>
          <w:rFonts w:asciiTheme="majorBidi" w:eastAsia="Times New Roman" w:hAnsiTheme="majorBidi" w:cstheme="majorBidi"/>
          <w:color w:val="000000" w:themeColor="text1"/>
          <w:kern w:val="0"/>
          <w:lang w:eastAsia="en-GB"/>
          <w14:ligatures w14:val="none"/>
        </w:rPr>
        <w:t>Gastroenterology, Volume 167, Issue 4, 653 - 655</w:t>
      </w:r>
    </w:p>
    <w:p w:rsidR="003E3971" w:rsidRPr="003E3971" w:rsidRDefault="003E3971" w:rsidP="00E341A6">
      <w:pPr>
        <w:numPr>
          <w:ilvl w:val="0"/>
          <w:numId w:val="7"/>
        </w:numPr>
        <w:spacing w:line="480" w:lineRule="auto"/>
        <w:rPr>
          <w:rFonts w:asciiTheme="majorBidi" w:hAnsiTheme="majorBidi" w:cstheme="majorBidi"/>
        </w:rPr>
      </w:pPr>
      <w:r w:rsidRPr="003E3971">
        <w:rPr>
          <w:rFonts w:asciiTheme="majorBidi" w:hAnsiTheme="majorBidi" w:cstheme="majorBidi"/>
        </w:rPr>
        <w:t xml:space="preserve">Tan YX, </w:t>
      </w:r>
      <w:proofErr w:type="spellStart"/>
      <w:r w:rsidRPr="003E3971">
        <w:rPr>
          <w:rFonts w:asciiTheme="majorBidi" w:hAnsiTheme="majorBidi" w:cstheme="majorBidi"/>
        </w:rPr>
        <w:t>Seow</w:t>
      </w:r>
      <w:proofErr w:type="spellEnd"/>
      <w:r w:rsidRPr="003E3971">
        <w:rPr>
          <w:rFonts w:asciiTheme="majorBidi" w:hAnsiTheme="majorBidi" w:cstheme="majorBidi"/>
        </w:rPr>
        <w:t xml:space="preserve"> YX, Choong KA, Chong CS. Tendency of </w:t>
      </w:r>
      <w:proofErr w:type="spellStart"/>
      <w:r w:rsidRPr="003E3971">
        <w:rPr>
          <w:rFonts w:asciiTheme="majorBidi" w:hAnsiTheme="majorBidi" w:cstheme="majorBidi"/>
        </w:rPr>
        <w:t>Semaglutide</w:t>
      </w:r>
      <w:proofErr w:type="spellEnd"/>
      <w:r w:rsidRPr="003E3971">
        <w:rPr>
          <w:rFonts w:asciiTheme="majorBidi" w:hAnsiTheme="majorBidi" w:cstheme="majorBidi"/>
        </w:rPr>
        <w:t xml:space="preserve"> to Induce Gastroparesis: A Case Report. </w:t>
      </w:r>
      <w:proofErr w:type="spellStart"/>
      <w:r w:rsidRPr="003E3971">
        <w:rPr>
          <w:rFonts w:asciiTheme="majorBidi" w:hAnsiTheme="majorBidi" w:cstheme="majorBidi"/>
          <w:i/>
          <w:iCs/>
        </w:rPr>
        <w:t>Cureus</w:t>
      </w:r>
      <w:proofErr w:type="spellEnd"/>
      <w:r w:rsidRPr="003E3971">
        <w:rPr>
          <w:rFonts w:asciiTheme="majorBidi" w:hAnsiTheme="majorBidi" w:cstheme="majorBidi"/>
        </w:rPr>
        <w:t>. 2024;16(9</w:t>
      </w:r>
      <w:proofErr w:type="gramStart"/>
      <w:r w:rsidRPr="003E3971">
        <w:rPr>
          <w:rFonts w:asciiTheme="majorBidi" w:hAnsiTheme="majorBidi" w:cstheme="majorBidi"/>
        </w:rPr>
        <w:t>):e</w:t>
      </w:r>
      <w:proofErr w:type="gramEnd"/>
      <w:r w:rsidRPr="003E3971">
        <w:rPr>
          <w:rFonts w:asciiTheme="majorBidi" w:hAnsiTheme="majorBidi" w:cstheme="majorBidi"/>
        </w:rPr>
        <w:t>69471.</w:t>
      </w:r>
    </w:p>
    <w:p w:rsidR="003E3971" w:rsidRPr="003E3971" w:rsidRDefault="003E3971" w:rsidP="003E3971">
      <w:pPr>
        <w:numPr>
          <w:ilvl w:val="0"/>
          <w:numId w:val="7"/>
        </w:numPr>
        <w:spacing w:line="480" w:lineRule="auto"/>
        <w:rPr>
          <w:rFonts w:asciiTheme="majorBidi" w:hAnsiTheme="majorBidi" w:cstheme="majorBidi"/>
        </w:rPr>
      </w:pPr>
      <w:proofErr w:type="spellStart"/>
      <w:r w:rsidRPr="003E3971">
        <w:rPr>
          <w:rFonts w:asciiTheme="majorBidi" w:hAnsiTheme="majorBidi" w:cstheme="majorBidi"/>
        </w:rPr>
        <w:lastRenderedPageBreak/>
        <w:t>Galeano</w:t>
      </w:r>
      <w:proofErr w:type="spellEnd"/>
      <w:r w:rsidRPr="003E3971">
        <w:rPr>
          <w:rFonts w:asciiTheme="majorBidi" w:hAnsiTheme="majorBidi" w:cstheme="majorBidi"/>
        </w:rPr>
        <w:t xml:space="preserve"> </w:t>
      </w:r>
      <w:proofErr w:type="spellStart"/>
      <w:r w:rsidRPr="003E3971">
        <w:rPr>
          <w:rFonts w:asciiTheme="majorBidi" w:hAnsiTheme="majorBidi" w:cstheme="majorBidi"/>
        </w:rPr>
        <w:t>Lovera</w:t>
      </w:r>
      <w:proofErr w:type="spellEnd"/>
      <w:r w:rsidRPr="003E3971">
        <w:rPr>
          <w:rFonts w:asciiTheme="majorBidi" w:hAnsiTheme="majorBidi" w:cstheme="majorBidi"/>
        </w:rPr>
        <w:t xml:space="preserve"> SF, </w:t>
      </w:r>
      <w:proofErr w:type="spellStart"/>
      <w:r w:rsidRPr="003E3971">
        <w:rPr>
          <w:rFonts w:asciiTheme="majorBidi" w:hAnsiTheme="majorBidi" w:cstheme="majorBidi"/>
        </w:rPr>
        <w:t>Gnanapandithan</w:t>
      </w:r>
      <w:proofErr w:type="spellEnd"/>
      <w:r w:rsidRPr="003E3971">
        <w:rPr>
          <w:rFonts w:asciiTheme="majorBidi" w:hAnsiTheme="majorBidi" w:cstheme="majorBidi"/>
        </w:rPr>
        <w:t xml:space="preserve"> K. S3653 </w:t>
      </w:r>
      <w:proofErr w:type="spellStart"/>
      <w:r w:rsidRPr="003E3971">
        <w:rPr>
          <w:rFonts w:asciiTheme="majorBidi" w:hAnsiTheme="majorBidi" w:cstheme="majorBidi"/>
        </w:rPr>
        <w:t>Semaglutide</w:t>
      </w:r>
      <w:proofErr w:type="spellEnd"/>
      <w:r w:rsidRPr="003E3971">
        <w:rPr>
          <w:rFonts w:asciiTheme="majorBidi" w:hAnsiTheme="majorBidi" w:cstheme="majorBidi"/>
        </w:rPr>
        <w:t xml:space="preserve">-Induced Hepatotoxicity: A Rare Case of Drug-Induced Liver Injury. </w:t>
      </w:r>
      <w:r w:rsidRPr="003E3971">
        <w:rPr>
          <w:rFonts w:asciiTheme="majorBidi" w:hAnsiTheme="majorBidi" w:cstheme="majorBidi"/>
          <w:i/>
          <w:iCs/>
        </w:rPr>
        <w:t>Am J Gastroenterol</w:t>
      </w:r>
      <w:r w:rsidRPr="003E3971">
        <w:rPr>
          <w:rFonts w:asciiTheme="majorBidi" w:hAnsiTheme="majorBidi" w:cstheme="majorBidi"/>
        </w:rPr>
        <w:t>. 2023;118(S10</w:t>
      </w:r>
      <w:proofErr w:type="gramStart"/>
      <w:r w:rsidRPr="003E3971">
        <w:rPr>
          <w:rFonts w:asciiTheme="majorBidi" w:hAnsiTheme="majorBidi" w:cstheme="majorBidi"/>
        </w:rPr>
        <w:t>):S</w:t>
      </w:r>
      <w:proofErr w:type="gramEnd"/>
      <w:r w:rsidRPr="003E3971">
        <w:rPr>
          <w:rFonts w:asciiTheme="majorBidi" w:hAnsiTheme="majorBidi" w:cstheme="majorBidi"/>
        </w:rPr>
        <w:t>2370.</w:t>
      </w:r>
    </w:p>
    <w:p w:rsidR="003E3971" w:rsidRPr="003E3971" w:rsidRDefault="003E3971" w:rsidP="003E3971">
      <w:pPr>
        <w:numPr>
          <w:ilvl w:val="0"/>
          <w:numId w:val="7"/>
        </w:numPr>
        <w:spacing w:line="480" w:lineRule="auto"/>
        <w:rPr>
          <w:rFonts w:asciiTheme="majorBidi" w:hAnsiTheme="majorBidi" w:cstheme="majorBidi"/>
        </w:rPr>
      </w:pPr>
      <w:r w:rsidRPr="003E3971">
        <w:rPr>
          <w:rFonts w:asciiTheme="majorBidi" w:hAnsiTheme="majorBidi" w:cstheme="majorBidi"/>
        </w:rPr>
        <w:t>Husain A, Roberts LR. Pathology Pearls: Granulomatous Liver Diseases. AASLD Liver Fellow Network; 2024.</w:t>
      </w:r>
    </w:p>
    <w:p w:rsidR="003E3971" w:rsidRPr="003E3971" w:rsidRDefault="003E3971" w:rsidP="003E3971">
      <w:pPr>
        <w:spacing w:line="480" w:lineRule="auto"/>
        <w:rPr>
          <w:rFonts w:asciiTheme="majorBidi" w:hAnsiTheme="majorBidi" w:cstheme="majorBidi"/>
        </w:rPr>
      </w:pPr>
    </w:p>
    <w:sectPr w:rsidR="003E3971" w:rsidRPr="003E3971" w:rsidSect="003E3971">
      <w:pgSz w:w="11906" w:h="16838"/>
      <w:pgMar w:top="144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C512B"/>
    <w:multiLevelType w:val="multilevel"/>
    <w:tmpl w:val="412A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F424D"/>
    <w:multiLevelType w:val="multilevel"/>
    <w:tmpl w:val="79EA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E1575"/>
    <w:multiLevelType w:val="multilevel"/>
    <w:tmpl w:val="AA0A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B69B7"/>
    <w:multiLevelType w:val="multilevel"/>
    <w:tmpl w:val="E32E0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FB1609"/>
    <w:multiLevelType w:val="multilevel"/>
    <w:tmpl w:val="0120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D77D3E"/>
    <w:multiLevelType w:val="hybridMultilevel"/>
    <w:tmpl w:val="BBCC0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F712B7"/>
    <w:multiLevelType w:val="multilevel"/>
    <w:tmpl w:val="4C640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F4648A"/>
    <w:multiLevelType w:val="multilevel"/>
    <w:tmpl w:val="84E2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16146B"/>
    <w:multiLevelType w:val="multilevel"/>
    <w:tmpl w:val="EC94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018831">
    <w:abstractNumId w:val="1"/>
  </w:num>
  <w:num w:numId="2" w16cid:durableId="979190305">
    <w:abstractNumId w:val="4"/>
  </w:num>
  <w:num w:numId="3" w16cid:durableId="1925987154">
    <w:abstractNumId w:val="2"/>
  </w:num>
  <w:num w:numId="4" w16cid:durableId="1062020574">
    <w:abstractNumId w:val="0"/>
  </w:num>
  <w:num w:numId="5" w16cid:durableId="1028022203">
    <w:abstractNumId w:val="8"/>
  </w:num>
  <w:num w:numId="6" w16cid:durableId="823008245">
    <w:abstractNumId w:val="7"/>
  </w:num>
  <w:num w:numId="7" w16cid:durableId="1716391325">
    <w:abstractNumId w:val="6"/>
  </w:num>
  <w:num w:numId="8" w16cid:durableId="1514958903">
    <w:abstractNumId w:val="3"/>
  </w:num>
  <w:num w:numId="9" w16cid:durableId="1472478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971"/>
    <w:rsid w:val="00173C95"/>
    <w:rsid w:val="003C3EAD"/>
    <w:rsid w:val="003E3971"/>
    <w:rsid w:val="00524C45"/>
    <w:rsid w:val="00720F07"/>
    <w:rsid w:val="0078299D"/>
    <w:rsid w:val="0094266B"/>
    <w:rsid w:val="009E593A"/>
    <w:rsid w:val="009F2461"/>
    <w:rsid w:val="00E341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FC190"/>
  <w15:chartTrackingRefBased/>
  <w15:docId w15:val="{10538C1E-1AFD-3C4E-9B9D-4C85622C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E341A6"/>
    <w:pPr>
      <w:spacing w:before="100" w:beforeAutospacing="1" w:after="100" w:afterAutospacing="1"/>
      <w:outlineLvl w:val="3"/>
    </w:pPr>
    <w:rPr>
      <w:rFonts w:ascii="Times New Roman" w:eastAsia="Times New Roman" w:hAnsi="Times New Roman" w:cs="Times New Roman"/>
      <w:b/>
      <w:bCs/>
      <w:kern w:val="0"/>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341A6"/>
    <w:rPr>
      <w:rFonts w:ascii="Times New Roman" w:eastAsia="Times New Roman" w:hAnsi="Times New Roman" w:cs="Times New Roman"/>
      <w:b/>
      <w:bCs/>
      <w:kern w:val="0"/>
      <w:lang w:eastAsia="en-GB"/>
      <w14:ligatures w14:val="none"/>
    </w:rPr>
  </w:style>
  <w:style w:type="paragraph" w:styleId="ListParagraph">
    <w:name w:val="List Paragraph"/>
    <w:basedOn w:val="Normal"/>
    <w:uiPriority w:val="34"/>
    <w:qFormat/>
    <w:rsid w:val="00524C45"/>
    <w:pPr>
      <w:ind w:left="720"/>
      <w:contextualSpacing/>
    </w:pPr>
  </w:style>
  <w:style w:type="paragraph" w:styleId="NormalWeb">
    <w:name w:val="Normal (Web)"/>
    <w:basedOn w:val="Normal"/>
    <w:uiPriority w:val="99"/>
    <w:semiHidden/>
    <w:unhideWhenUsed/>
    <w:rsid w:val="00524C4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80153">
      <w:bodyDiv w:val="1"/>
      <w:marLeft w:val="0"/>
      <w:marRight w:val="0"/>
      <w:marTop w:val="0"/>
      <w:marBottom w:val="0"/>
      <w:divBdr>
        <w:top w:val="none" w:sz="0" w:space="0" w:color="auto"/>
        <w:left w:val="none" w:sz="0" w:space="0" w:color="auto"/>
        <w:bottom w:val="none" w:sz="0" w:space="0" w:color="auto"/>
        <w:right w:val="none" w:sz="0" w:space="0" w:color="auto"/>
      </w:divBdr>
      <w:divsChild>
        <w:div w:id="1682581076">
          <w:marLeft w:val="0"/>
          <w:marRight w:val="0"/>
          <w:marTop w:val="0"/>
          <w:marBottom w:val="0"/>
          <w:divBdr>
            <w:top w:val="none" w:sz="0" w:space="0" w:color="auto"/>
            <w:left w:val="none" w:sz="0" w:space="0" w:color="auto"/>
            <w:bottom w:val="none" w:sz="0" w:space="0" w:color="auto"/>
            <w:right w:val="none" w:sz="0" w:space="0" w:color="auto"/>
          </w:divBdr>
          <w:divsChild>
            <w:div w:id="1659571594">
              <w:marLeft w:val="0"/>
              <w:marRight w:val="0"/>
              <w:marTop w:val="0"/>
              <w:marBottom w:val="0"/>
              <w:divBdr>
                <w:top w:val="none" w:sz="0" w:space="0" w:color="auto"/>
                <w:left w:val="none" w:sz="0" w:space="0" w:color="auto"/>
                <w:bottom w:val="none" w:sz="0" w:space="0" w:color="auto"/>
                <w:right w:val="none" w:sz="0" w:space="0" w:color="auto"/>
              </w:divBdr>
              <w:divsChild>
                <w:div w:id="22461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76028">
      <w:bodyDiv w:val="1"/>
      <w:marLeft w:val="0"/>
      <w:marRight w:val="0"/>
      <w:marTop w:val="0"/>
      <w:marBottom w:val="0"/>
      <w:divBdr>
        <w:top w:val="none" w:sz="0" w:space="0" w:color="auto"/>
        <w:left w:val="none" w:sz="0" w:space="0" w:color="auto"/>
        <w:bottom w:val="none" w:sz="0" w:space="0" w:color="auto"/>
        <w:right w:val="none" w:sz="0" w:space="0" w:color="auto"/>
      </w:divBdr>
      <w:divsChild>
        <w:div w:id="1284386514">
          <w:marLeft w:val="0"/>
          <w:marRight w:val="0"/>
          <w:marTop w:val="0"/>
          <w:marBottom w:val="0"/>
          <w:divBdr>
            <w:top w:val="none" w:sz="0" w:space="0" w:color="auto"/>
            <w:left w:val="none" w:sz="0" w:space="0" w:color="auto"/>
            <w:bottom w:val="none" w:sz="0" w:space="0" w:color="auto"/>
            <w:right w:val="none" w:sz="0" w:space="0" w:color="auto"/>
          </w:divBdr>
        </w:div>
        <w:div w:id="998927170">
          <w:marLeft w:val="0"/>
          <w:marRight w:val="0"/>
          <w:marTop w:val="0"/>
          <w:marBottom w:val="0"/>
          <w:divBdr>
            <w:top w:val="none" w:sz="0" w:space="0" w:color="auto"/>
            <w:left w:val="none" w:sz="0" w:space="0" w:color="auto"/>
            <w:bottom w:val="none" w:sz="0" w:space="0" w:color="auto"/>
            <w:right w:val="none" w:sz="0" w:space="0" w:color="auto"/>
          </w:divBdr>
        </w:div>
      </w:divsChild>
    </w:div>
    <w:div w:id="1928491032">
      <w:bodyDiv w:val="1"/>
      <w:marLeft w:val="0"/>
      <w:marRight w:val="0"/>
      <w:marTop w:val="0"/>
      <w:marBottom w:val="0"/>
      <w:divBdr>
        <w:top w:val="none" w:sz="0" w:space="0" w:color="auto"/>
        <w:left w:val="none" w:sz="0" w:space="0" w:color="auto"/>
        <w:bottom w:val="none" w:sz="0" w:space="0" w:color="auto"/>
        <w:right w:val="none" w:sz="0" w:space="0" w:color="auto"/>
      </w:divBdr>
      <w:divsChild>
        <w:div w:id="667562497">
          <w:marLeft w:val="0"/>
          <w:marRight w:val="0"/>
          <w:marTop w:val="0"/>
          <w:marBottom w:val="0"/>
          <w:divBdr>
            <w:top w:val="none" w:sz="0" w:space="0" w:color="auto"/>
            <w:left w:val="none" w:sz="0" w:space="0" w:color="auto"/>
            <w:bottom w:val="none" w:sz="0" w:space="0" w:color="auto"/>
            <w:right w:val="none" w:sz="0" w:space="0" w:color="auto"/>
          </w:divBdr>
          <w:divsChild>
            <w:div w:id="175257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17941">
      <w:bodyDiv w:val="1"/>
      <w:marLeft w:val="0"/>
      <w:marRight w:val="0"/>
      <w:marTop w:val="0"/>
      <w:marBottom w:val="0"/>
      <w:divBdr>
        <w:top w:val="none" w:sz="0" w:space="0" w:color="auto"/>
        <w:left w:val="none" w:sz="0" w:space="0" w:color="auto"/>
        <w:bottom w:val="none" w:sz="0" w:space="0" w:color="auto"/>
        <w:right w:val="none" w:sz="0" w:space="0" w:color="auto"/>
      </w:divBdr>
      <w:divsChild>
        <w:div w:id="583150071">
          <w:marLeft w:val="0"/>
          <w:marRight w:val="0"/>
          <w:marTop w:val="0"/>
          <w:marBottom w:val="0"/>
          <w:divBdr>
            <w:top w:val="none" w:sz="0" w:space="0" w:color="auto"/>
            <w:left w:val="none" w:sz="0" w:space="0" w:color="auto"/>
            <w:bottom w:val="none" w:sz="0" w:space="0" w:color="auto"/>
            <w:right w:val="none" w:sz="0" w:space="0" w:color="auto"/>
          </w:divBdr>
          <w:divsChild>
            <w:div w:id="839543636">
              <w:marLeft w:val="0"/>
              <w:marRight w:val="0"/>
              <w:marTop w:val="0"/>
              <w:marBottom w:val="0"/>
              <w:divBdr>
                <w:top w:val="none" w:sz="0" w:space="0" w:color="auto"/>
                <w:left w:val="none" w:sz="0" w:space="0" w:color="auto"/>
                <w:bottom w:val="none" w:sz="0" w:space="0" w:color="auto"/>
                <w:right w:val="none" w:sz="0" w:space="0" w:color="auto"/>
              </w:divBdr>
              <w:divsChild>
                <w:div w:id="10664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116098">
      <w:bodyDiv w:val="1"/>
      <w:marLeft w:val="0"/>
      <w:marRight w:val="0"/>
      <w:marTop w:val="0"/>
      <w:marBottom w:val="0"/>
      <w:divBdr>
        <w:top w:val="none" w:sz="0" w:space="0" w:color="auto"/>
        <w:left w:val="none" w:sz="0" w:space="0" w:color="auto"/>
        <w:bottom w:val="none" w:sz="0" w:space="0" w:color="auto"/>
        <w:right w:val="none" w:sz="0" w:space="0" w:color="auto"/>
      </w:divBdr>
      <w:divsChild>
        <w:div w:id="255214564">
          <w:marLeft w:val="0"/>
          <w:marRight w:val="0"/>
          <w:marTop w:val="0"/>
          <w:marBottom w:val="0"/>
          <w:divBdr>
            <w:top w:val="none" w:sz="0" w:space="0" w:color="auto"/>
            <w:left w:val="none" w:sz="0" w:space="0" w:color="auto"/>
            <w:bottom w:val="none" w:sz="0" w:space="0" w:color="auto"/>
            <w:right w:val="none" w:sz="0" w:space="0" w:color="auto"/>
          </w:divBdr>
          <w:divsChild>
            <w:div w:id="4254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2025-09-12T05:10:00Z</dcterms:created>
  <dcterms:modified xsi:type="dcterms:W3CDTF">2025-09-12T05:10:00Z</dcterms:modified>
</cp:coreProperties>
</file>